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8CD58">
      <w:pPr>
        <w:snapToGrid w:val="0"/>
        <w:spacing w:line="360" w:lineRule="auto"/>
        <w:jc w:val="center"/>
        <w:rPr>
          <w:rFonts w:hint="default" w:ascii="Times New Roman" w:hAnsi="Times New Roman" w:cs="Times New Roman"/>
          <w:b/>
          <w:bCs/>
          <w:sz w:val="32"/>
          <w:szCs w:val="32"/>
        </w:rPr>
      </w:pPr>
      <w:bookmarkStart w:id="0" w:name="_Toc1817129300"/>
      <w:r>
        <w:rPr>
          <w:rStyle w:val="7"/>
          <w:rFonts w:hint="default" w:ascii="Times New Roman" w:hAnsi="Times New Roman" w:cs="Times New Roman"/>
        </w:rPr>
        <w:t>供应链尽责管理政策</w:t>
      </w:r>
      <w:bookmarkEnd w:id="0"/>
    </w:p>
    <w:p w14:paraId="40F6AD3A">
      <w:pPr>
        <w:snapToGrid w:val="0"/>
        <w:spacing w:line="360" w:lineRule="auto"/>
        <w:rPr>
          <w:rFonts w:hint="default" w:ascii="Times New Roman" w:hAnsi="Times New Roman" w:eastAsia="仿宋" w:cs="Times New Roman"/>
          <w:sz w:val="24"/>
          <w:szCs w:val="24"/>
        </w:rPr>
      </w:pPr>
    </w:p>
    <w:p w14:paraId="77F41050">
      <w:pPr>
        <w:snapToGrid w:val="0"/>
        <w:spacing w:line="360" w:lineRule="auto"/>
        <w:ind w:firstLine="480" w:firstLineChars="200"/>
        <w:rPr>
          <w:rFonts w:hint="default" w:ascii="Times New Roman" w:hAnsi="Times New Roman" w:eastAsia="仿宋" w:cs="Times New Roman"/>
          <w:color w:val="231F20"/>
          <w:sz w:val="24"/>
          <w:szCs w:val="24"/>
        </w:rPr>
      </w:pPr>
      <w:r>
        <w:rPr>
          <w:rFonts w:hint="eastAsia" w:ascii="Times New Roman" w:hAnsi="Times New Roman" w:eastAsia="仿宋" w:cs="Times New Roman"/>
          <w:sz w:val="24"/>
          <w:szCs w:val="24"/>
          <w:lang w:eastAsia="zh-CN"/>
        </w:rPr>
        <w:t>南丹县南方有色金属有限责任公司</w:t>
      </w:r>
      <w:r>
        <w:rPr>
          <w:rFonts w:hint="default" w:ascii="Times New Roman" w:hAnsi="Times New Roman" w:eastAsia="仿宋" w:cs="Times New Roman"/>
          <w:sz w:val="24"/>
          <w:szCs w:val="24"/>
        </w:rPr>
        <w:t>认识到在“受冲突影响和高风险区域”从事矿产资源开采、交易、</w:t>
      </w:r>
      <w:r>
        <w:rPr>
          <w:rFonts w:hint="default" w:ascii="Times New Roman" w:hAnsi="Times New Roman" w:eastAsia="仿宋" w:cs="Times New Roman"/>
          <w:sz w:val="24"/>
          <w:szCs w:val="24"/>
          <w:lang w:eastAsia="zh-Hans"/>
        </w:rPr>
        <w:t>加工</w:t>
      </w:r>
      <w:r>
        <w:rPr>
          <w:rFonts w:hint="default" w:ascii="Times New Roman" w:hAnsi="Times New Roman" w:eastAsia="仿宋" w:cs="Times New Roman"/>
          <w:sz w:val="24"/>
          <w:szCs w:val="24"/>
        </w:rPr>
        <w:t>、出口存在可能造成不利影响的风险，并认识到我们有尊重人权、不助长冲突和不对环境和社会产生不利影响的义务，我们承诺采纳并广泛传播《中国矿产供应链尽责管理指南》（</w:t>
      </w:r>
      <w:r>
        <w:rPr>
          <w:rFonts w:hint="default" w:ascii="Times New Roman" w:hAnsi="Times New Roman" w:eastAsia="仿宋" w:cs="Times New Roman"/>
          <w:sz w:val="24"/>
          <w:szCs w:val="24"/>
          <w:lang w:eastAsia="zh-Hans"/>
        </w:rPr>
        <w:t>第二版）</w:t>
      </w:r>
      <w:r>
        <w:rPr>
          <w:rFonts w:hint="default" w:ascii="Times New Roman" w:hAnsi="Times New Roman" w:eastAsia="仿宋" w:cs="Times New Roman"/>
          <w:sz w:val="24"/>
          <w:szCs w:val="24"/>
        </w:rPr>
        <w:t>、《经济合作与发展组织关于来自受冲突影响和高风险区域的矿石的负责任供应链尽职调查指南》（第三版）相关内容，</w:t>
      </w:r>
      <w:r>
        <w:rPr>
          <w:rFonts w:hint="default" w:ascii="Times New Roman" w:hAnsi="Times New Roman" w:eastAsia="仿宋" w:cs="Times New Roman"/>
          <w:color w:val="231F20"/>
          <w:sz w:val="24"/>
          <w:szCs w:val="24"/>
        </w:rPr>
        <w:t>并将其纳入到与</w:t>
      </w:r>
      <w:r>
        <w:rPr>
          <w:rFonts w:hint="default" w:ascii="Times New Roman" w:hAnsi="Times New Roman" w:eastAsia="仿宋" w:cs="Times New Roman"/>
          <w:color w:val="231F20"/>
          <w:sz w:val="24"/>
          <w:szCs w:val="24"/>
          <w:lang w:eastAsia="zh-Hans"/>
        </w:rPr>
        <w:t>业务合作伙伴</w:t>
      </w:r>
      <w:r>
        <w:rPr>
          <w:rFonts w:hint="default" w:ascii="Times New Roman" w:hAnsi="Times New Roman" w:eastAsia="仿宋" w:cs="Times New Roman"/>
          <w:color w:val="231F20"/>
          <w:sz w:val="24"/>
          <w:szCs w:val="24"/>
        </w:rPr>
        <w:t>签订的合同和协议之中。</w:t>
      </w:r>
    </w:p>
    <w:p w14:paraId="1E9FE6A6">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这一政策为供应链全过程涉及冲突敏感的采购活动以及</w:t>
      </w:r>
      <w:r>
        <w:rPr>
          <w:rFonts w:hint="default" w:ascii="Times New Roman" w:hAnsi="Times New Roman" w:eastAsia="仿宋" w:cs="Times New Roman"/>
          <w:sz w:val="24"/>
          <w:szCs w:val="24"/>
          <w:lang w:eastAsia="zh-Hans"/>
        </w:rPr>
        <w:t>业务合作伙伴</w:t>
      </w:r>
      <w:r>
        <w:rPr>
          <w:rFonts w:hint="default" w:ascii="Times New Roman" w:hAnsi="Times New Roman" w:eastAsia="仿宋" w:cs="Times New Roman"/>
          <w:sz w:val="24"/>
          <w:szCs w:val="24"/>
        </w:rPr>
        <w:t>提高风险意识提供参考。我们承诺不从事任何会为冲突提供资助的活动，承诺遵守联合国</w:t>
      </w:r>
      <w:r>
        <w:rPr>
          <w:rFonts w:hint="default" w:ascii="Times New Roman" w:hAnsi="Times New Roman" w:eastAsia="仿宋" w:cs="Times New Roman"/>
          <w:sz w:val="24"/>
          <w:szCs w:val="24"/>
          <w:lang w:eastAsia="zh-Hans"/>
        </w:rPr>
        <w:t>等</w:t>
      </w:r>
      <w:r>
        <w:rPr>
          <w:rFonts w:hint="default" w:ascii="Times New Roman" w:hAnsi="Times New Roman" w:eastAsia="仿宋" w:cs="Times New Roman"/>
          <w:sz w:val="24"/>
          <w:szCs w:val="24"/>
        </w:rPr>
        <w:t>相关制裁决议。</w:t>
      </w:r>
    </w:p>
    <w:p w14:paraId="7D7E8262">
      <w:pPr>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公司承诺在</w:t>
      </w:r>
      <w:r>
        <w:rPr>
          <w:rFonts w:hint="default" w:ascii="Times New Roman" w:hAnsi="Times New Roman" w:eastAsia="仿宋" w:cs="Times New Roman"/>
          <w:sz w:val="24"/>
          <w:szCs w:val="24"/>
          <w:lang w:eastAsia="zh-Hans"/>
        </w:rPr>
        <w:t>矿产</w:t>
      </w:r>
      <w:r>
        <w:rPr>
          <w:rFonts w:hint="default" w:ascii="Times New Roman" w:hAnsi="Times New Roman" w:eastAsia="仿宋" w:cs="Times New Roman"/>
          <w:sz w:val="24"/>
          <w:szCs w:val="24"/>
        </w:rPr>
        <w:t>供应链运营实践中识别和管理以下风险：</w:t>
      </w:r>
    </w:p>
    <w:p w14:paraId="7EBAB527">
      <w:pPr>
        <w:spacing w:before="156" w:beforeLines="50" w:line="360" w:lineRule="auto"/>
        <w:ind w:left="498" w:hanging="498" w:hangingChars="200"/>
        <w:rPr>
          <w:rFonts w:hint="default" w:ascii="Times New Roman" w:hAnsi="Times New Roman" w:eastAsia="仿宋" w:cs="Times New Roman"/>
          <w:b/>
          <w:bCs/>
          <w:color w:val="000000"/>
          <w:spacing w:val="4"/>
          <w:sz w:val="24"/>
          <w:szCs w:val="24"/>
        </w:rPr>
      </w:pPr>
      <w:bookmarkStart w:id="1" w:name="_Toc249758696_WPSOffice_Level2"/>
      <w:r>
        <w:rPr>
          <w:rFonts w:hint="default" w:ascii="Times New Roman" w:hAnsi="Times New Roman" w:eastAsia="仿宋" w:cs="Times New Roman"/>
          <w:b/>
          <w:bCs/>
          <w:color w:val="000000"/>
          <w:spacing w:val="4"/>
          <w:sz w:val="24"/>
          <w:szCs w:val="24"/>
        </w:rPr>
        <w:t>一、与矿产开采、运输或贸易有关的严重侵权行为：</w:t>
      </w:r>
      <w:bookmarkEnd w:id="1"/>
      <w:r>
        <w:rPr>
          <w:rFonts w:hint="default" w:ascii="Times New Roman" w:hAnsi="Times New Roman" w:eastAsia="仿宋" w:cs="Times New Roman"/>
          <w:b/>
          <w:bCs/>
          <w:color w:val="000000"/>
          <w:spacing w:val="4"/>
          <w:sz w:val="24"/>
          <w:szCs w:val="24"/>
        </w:rPr>
        <w:t xml:space="preserve"> </w:t>
      </w:r>
    </w:p>
    <w:p w14:paraId="76AF30CE">
      <w:pPr>
        <w:numPr>
          <w:ilvl w:val="0"/>
          <w:numId w:val="1"/>
        </w:numPr>
        <w:spacing w:before="156" w:beforeLines="50" w:line="360" w:lineRule="auto"/>
        <w:ind w:left="0" w:firstLine="480" w:firstLineChars="200"/>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在“受冲突影响和高风险区域”开展采购或经营活动时，我们既不会容忍也不会以任何方式获利于、帮助、协助或便利任何一方实施： </w:t>
      </w:r>
    </w:p>
    <w:p w14:paraId="5D595BD6">
      <w:pPr>
        <w:numPr>
          <w:ilvl w:val="0"/>
          <w:numId w:val="2"/>
        </w:numPr>
        <w:spacing w:before="156" w:beforeLines="50"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任何形式的酷刑，残忍、不人道和有辱人格的待遇； </w:t>
      </w:r>
    </w:p>
    <w:p w14:paraId="135BFE47">
      <w:pPr>
        <w:numPr>
          <w:ilvl w:val="0"/>
          <w:numId w:val="2"/>
        </w:numPr>
        <w:spacing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任何形式的强迫或强制劳动。强迫或强制劳动是指以惩罚作为威胁榨取的任何个人的、并非该人自愿提供的劳动或服务； </w:t>
      </w:r>
    </w:p>
    <w:p w14:paraId="3FE97D92">
      <w:pPr>
        <w:numPr>
          <w:ilvl w:val="0"/>
          <w:numId w:val="2"/>
        </w:numPr>
        <w:spacing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最恶劣形式的童工；</w:t>
      </w:r>
    </w:p>
    <w:p w14:paraId="5805E032">
      <w:pPr>
        <w:numPr>
          <w:ilvl w:val="0"/>
          <w:numId w:val="2"/>
        </w:numPr>
        <w:spacing w:line="360" w:lineRule="auto"/>
        <w:ind w:left="845"/>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其他严重侵犯和践踏人权的行为，如普遍的性暴力行为； </w:t>
      </w:r>
    </w:p>
    <w:p w14:paraId="593FEA61">
      <w:pPr>
        <w:numPr>
          <w:ilvl w:val="0"/>
          <w:numId w:val="2"/>
        </w:numPr>
        <w:spacing w:line="360" w:lineRule="auto"/>
        <w:ind w:left="845"/>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 xml:space="preserve">战争罪或其他严重违反国际人道主义法的行为，反人类罪或种族灭绝罪。 </w:t>
      </w:r>
    </w:p>
    <w:p w14:paraId="0C6F65FF">
      <w:pPr>
        <w:spacing w:before="156" w:beforeLines="50" w:line="360" w:lineRule="auto"/>
        <w:ind w:left="482" w:hanging="482" w:hangingChars="200"/>
        <w:rPr>
          <w:rFonts w:hint="default" w:ascii="Times New Roman" w:hAnsi="Times New Roman" w:eastAsia="仿宋" w:cs="Times New Roman"/>
          <w:color w:val="000000"/>
          <w:sz w:val="24"/>
          <w:szCs w:val="24"/>
        </w:rPr>
      </w:pPr>
      <w:bookmarkStart w:id="2" w:name="_Toc426317405_WPSOffice_Level3"/>
      <w:r>
        <w:rPr>
          <w:rFonts w:hint="default" w:ascii="Times New Roman" w:hAnsi="Times New Roman" w:eastAsia="仿宋" w:cs="Times New Roman"/>
          <w:b/>
          <w:color w:val="000000"/>
          <w:sz w:val="24"/>
          <w:szCs w:val="24"/>
          <w:lang w:bidi="ar"/>
        </w:rPr>
        <w:t>风险缓解策略：</w:t>
      </w:r>
      <w:bookmarkEnd w:id="2"/>
      <w:r>
        <w:rPr>
          <w:rFonts w:hint="default" w:ascii="Times New Roman" w:hAnsi="Times New Roman" w:eastAsia="仿宋" w:cs="Times New Roman"/>
          <w:b/>
          <w:color w:val="000000"/>
          <w:sz w:val="24"/>
          <w:szCs w:val="24"/>
          <w:lang w:bidi="ar"/>
        </w:rPr>
        <w:t xml:space="preserve"> </w:t>
      </w:r>
    </w:p>
    <w:p w14:paraId="2E8FB5D1">
      <w:pPr>
        <w:numPr>
          <w:ilvl w:val="0"/>
          <w:numId w:val="3"/>
        </w:numPr>
        <w:spacing w:before="156" w:beforeLines="50" w:line="360" w:lineRule="auto"/>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如果我们有合理理由认为该风险存在，即上游供应商正从实施上述严重侵权行为的任何一方进行采购或与该方有关联，我们将立即中止或</w:t>
      </w:r>
      <w:r>
        <w:rPr>
          <w:rFonts w:hint="default" w:ascii="Times New Roman" w:hAnsi="Times New Roman" w:eastAsia="仿宋" w:cs="Times New Roman"/>
          <w:color w:val="000000"/>
          <w:sz w:val="24"/>
          <w:szCs w:val="24"/>
          <w:lang w:eastAsia="zh-Hans" w:bidi="ar"/>
        </w:rPr>
        <w:t>终止</w:t>
      </w:r>
      <w:r>
        <w:rPr>
          <w:rFonts w:hint="default" w:ascii="Times New Roman" w:hAnsi="Times New Roman" w:eastAsia="仿宋" w:cs="Times New Roman"/>
          <w:color w:val="000000"/>
          <w:sz w:val="24"/>
          <w:szCs w:val="24"/>
          <w:lang w:bidi="ar"/>
        </w:rPr>
        <w:t>与该供应商的合作。</w:t>
      </w:r>
    </w:p>
    <w:p w14:paraId="2A1D0154">
      <w:pPr>
        <w:spacing w:before="156" w:beforeLines="50" w:line="360" w:lineRule="auto"/>
        <w:ind w:left="482" w:hanging="482" w:hangingChars="200"/>
        <w:rPr>
          <w:rFonts w:hint="default" w:ascii="Times New Roman" w:hAnsi="Times New Roman" w:eastAsia="仿宋" w:cs="Times New Roman"/>
          <w:color w:val="000000"/>
          <w:sz w:val="24"/>
          <w:szCs w:val="24"/>
        </w:rPr>
      </w:pPr>
      <w:bookmarkStart w:id="3" w:name="_Toc1511357434_WPSOffice_Level2"/>
      <w:r>
        <w:rPr>
          <w:rFonts w:hint="default" w:ascii="Times New Roman" w:hAnsi="Times New Roman" w:eastAsia="仿宋" w:cs="Times New Roman"/>
          <w:b/>
          <w:color w:val="000000"/>
          <w:sz w:val="24"/>
          <w:szCs w:val="24"/>
          <w:lang w:bidi="ar"/>
        </w:rPr>
        <w:t>二、关于直接或间接支持非国家武装团体</w:t>
      </w:r>
      <w:r>
        <w:rPr>
          <w:rStyle w:val="6"/>
          <w:rFonts w:hint="default" w:ascii="Times New Roman" w:hAnsi="Times New Roman" w:eastAsia="仿宋" w:cs="Times New Roman"/>
          <w:b/>
          <w:color w:val="000000"/>
          <w:sz w:val="24"/>
          <w:szCs w:val="24"/>
          <w:lang w:bidi="ar"/>
        </w:rPr>
        <w:footnoteReference w:id="0"/>
      </w:r>
      <w:r>
        <w:rPr>
          <w:rFonts w:hint="default" w:ascii="Times New Roman" w:hAnsi="Times New Roman" w:eastAsia="仿宋" w:cs="Times New Roman"/>
          <w:b/>
          <w:color w:val="000000"/>
          <w:sz w:val="24"/>
          <w:szCs w:val="24"/>
          <w:lang w:bidi="ar"/>
        </w:rPr>
        <w:t>：</w:t>
      </w:r>
      <w:bookmarkEnd w:id="3"/>
    </w:p>
    <w:p w14:paraId="1C75F2EC">
      <w:pPr>
        <w:numPr>
          <w:ilvl w:val="0"/>
          <w:numId w:val="4"/>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我们不会容忍任何通过矿产开采、运输、贸易、处理或出口为非国家武装团体提供直接或间接的支持。通过矿产开采、运输、贸易、处理或出口为非国家武装团体提供“直接或间接的支持”包括且不限于从非国家武装团体或其关联方</w:t>
      </w:r>
      <w:r>
        <w:rPr>
          <w:rStyle w:val="6"/>
          <w:rFonts w:hint="default" w:ascii="Times New Roman" w:hAnsi="Times New Roman" w:eastAsia="仿宋" w:cs="Times New Roman"/>
          <w:color w:val="000000"/>
          <w:sz w:val="24"/>
          <w:szCs w:val="24"/>
          <w:lang w:bidi="ar"/>
        </w:rPr>
        <w:footnoteReference w:id="1"/>
      </w:r>
      <w:r>
        <w:rPr>
          <w:rFonts w:hint="default" w:ascii="Times New Roman" w:hAnsi="Times New Roman" w:eastAsia="仿宋" w:cs="Times New Roman"/>
          <w:color w:val="000000"/>
          <w:sz w:val="24"/>
          <w:szCs w:val="24"/>
          <w:lang w:bidi="ar"/>
        </w:rPr>
        <w:t xml:space="preserve"> 购买矿产，向其进行付款，或以其他方式为其提供后勤支援或设备等。这些武装团体或关联方： </w:t>
      </w:r>
    </w:p>
    <w:p w14:paraId="4F1A6C81">
      <w:pPr>
        <w:numPr>
          <w:ilvl w:val="0"/>
          <w:numId w:val="5"/>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非法控制矿址，或以其他方式控制运输路线、矿产交易点以及供应链的上游行为主体</w:t>
      </w:r>
      <w:r>
        <w:rPr>
          <w:rStyle w:val="6"/>
          <w:rFonts w:hint="default" w:ascii="Times New Roman" w:hAnsi="Times New Roman" w:eastAsia="仿宋" w:cs="Times New Roman"/>
          <w:color w:val="000000"/>
          <w:sz w:val="24"/>
          <w:szCs w:val="24"/>
          <w:lang w:bidi="ar"/>
        </w:rPr>
        <w:footnoteReference w:id="2"/>
      </w:r>
      <w:r>
        <w:rPr>
          <w:rFonts w:hint="default" w:ascii="Times New Roman" w:hAnsi="Times New Roman" w:eastAsia="仿宋" w:cs="Times New Roman"/>
          <w:color w:val="000000"/>
          <w:sz w:val="24"/>
          <w:szCs w:val="24"/>
          <w:lang w:bidi="ar"/>
        </w:rPr>
        <w:t xml:space="preserve">；并/或 </w:t>
      </w:r>
    </w:p>
    <w:p w14:paraId="20B19F12">
      <w:pPr>
        <w:numPr>
          <w:ilvl w:val="0"/>
          <w:numId w:val="5"/>
        </w:numPr>
        <w:spacing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在矿址入口、运输路线沿线或矿产交易点非法征税或者勒索钱财或矿产</w:t>
      </w:r>
      <w:r>
        <w:rPr>
          <w:rStyle w:val="6"/>
          <w:rFonts w:hint="default" w:ascii="Times New Roman" w:hAnsi="Times New Roman" w:eastAsia="仿宋" w:cs="Times New Roman"/>
          <w:color w:val="000000"/>
          <w:sz w:val="24"/>
          <w:szCs w:val="24"/>
          <w:lang w:bidi="ar"/>
        </w:rPr>
        <w:footnoteReference w:id="3"/>
      </w:r>
      <w:r>
        <w:rPr>
          <w:rFonts w:hint="default" w:ascii="Times New Roman" w:hAnsi="Times New Roman" w:eastAsia="仿宋" w:cs="Times New Roman"/>
          <w:color w:val="000000"/>
          <w:sz w:val="24"/>
          <w:szCs w:val="24"/>
          <w:lang w:bidi="ar"/>
        </w:rPr>
        <w:t xml:space="preserve">；并/或 </w:t>
      </w:r>
    </w:p>
    <w:p w14:paraId="7566F324">
      <w:pPr>
        <w:numPr>
          <w:ilvl w:val="0"/>
          <w:numId w:val="5"/>
        </w:numPr>
        <w:spacing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对中间商、出口企业、或国际贸易者非法征税或勒索。 </w:t>
      </w:r>
    </w:p>
    <w:p w14:paraId="56E16E9B">
      <w:pPr>
        <w:spacing w:before="156" w:beforeLines="50" w:line="360" w:lineRule="auto"/>
        <w:ind w:firstLine="482" w:firstLineChars="200"/>
        <w:rPr>
          <w:rFonts w:hint="default" w:ascii="Times New Roman" w:hAnsi="Times New Roman" w:eastAsia="仿宋" w:cs="Times New Roman"/>
          <w:b/>
          <w:color w:val="000000"/>
          <w:sz w:val="24"/>
          <w:szCs w:val="24"/>
          <w:lang w:bidi="ar"/>
        </w:rPr>
      </w:pPr>
      <w:bookmarkStart w:id="4" w:name="_Toc1111179443_WPSOffice_Level3"/>
      <w:r>
        <w:rPr>
          <w:rFonts w:hint="default" w:ascii="Times New Roman" w:hAnsi="Times New Roman" w:eastAsia="仿宋" w:cs="Times New Roman"/>
          <w:b/>
          <w:color w:val="000000"/>
          <w:sz w:val="24"/>
          <w:szCs w:val="24"/>
          <w:lang w:bidi="ar"/>
        </w:rPr>
        <w:t>风险缓解策略：</w:t>
      </w:r>
      <w:bookmarkEnd w:id="4"/>
      <w:r>
        <w:rPr>
          <w:rFonts w:hint="default" w:ascii="Times New Roman" w:hAnsi="Times New Roman" w:eastAsia="仿宋" w:cs="Times New Roman"/>
          <w:b/>
          <w:color w:val="000000"/>
          <w:sz w:val="24"/>
          <w:szCs w:val="24"/>
          <w:lang w:bidi="ar"/>
        </w:rPr>
        <w:t xml:space="preserve"> </w:t>
      </w:r>
    </w:p>
    <w:p w14:paraId="3E2F99A0">
      <w:pPr>
        <w:numPr>
          <w:ilvl w:val="0"/>
          <w:numId w:val="4"/>
        </w:numPr>
        <w:spacing w:before="156" w:beforeLines="50" w:line="360" w:lineRule="auto"/>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如果我们有理由认为，上游供应商从向非国家武装团体提供直接或间接支持的任何一方进行采购或与之存在关系，我们将立即中止或终止与该供应商的合作。</w:t>
      </w:r>
    </w:p>
    <w:p w14:paraId="740E1E68">
      <w:pPr>
        <w:spacing w:before="156" w:beforeLines="50" w:line="360" w:lineRule="auto"/>
        <w:rPr>
          <w:rFonts w:hint="default" w:ascii="Times New Roman" w:hAnsi="Times New Roman" w:eastAsia="仿宋" w:cs="Times New Roman"/>
          <w:color w:val="000000"/>
          <w:sz w:val="24"/>
          <w:szCs w:val="24"/>
        </w:rPr>
      </w:pPr>
      <w:bookmarkStart w:id="5" w:name="_Toc947816522_WPSOffice_Level2"/>
      <w:r>
        <w:rPr>
          <w:rFonts w:hint="default" w:ascii="Times New Roman" w:hAnsi="Times New Roman" w:eastAsia="仿宋" w:cs="Times New Roman"/>
          <w:b/>
          <w:color w:val="000000"/>
          <w:sz w:val="24"/>
          <w:szCs w:val="24"/>
          <w:lang w:bidi="ar"/>
        </w:rPr>
        <w:t>三、关于公共或私人安全武装：</w:t>
      </w:r>
      <w:bookmarkEnd w:id="5"/>
      <w:r>
        <w:rPr>
          <w:rFonts w:hint="default" w:ascii="Times New Roman" w:hAnsi="Times New Roman" w:eastAsia="仿宋" w:cs="Times New Roman"/>
          <w:b/>
          <w:color w:val="000000"/>
          <w:sz w:val="24"/>
          <w:szCs w:val="24"/>
          <w:lang w:bidi="ar"/>
        </w:rPr>
        <w:t xml:space="preserve"> </w:t>
      </w:r>
    </w:p>
    <w:p w14:paraId="32DDF9B8">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我们</w:t>
      </w:r>
      <w:r>
        <w:rPr>
          <w:rFonts w:hint="default" w:ascii="Times New Roman" w:hAnsi="Times New Roman" w:eastAsia="仿宋" w:cs="Times New Roman"/>
          <w:color w:val="000000"/>
          <w:sz w:val="24"/>
          <w:szCs w:val="24"/>
          <w:lang w:eastAsia="zh-Hans" w:bidi="ar"/>
        </w:rPr>
        <w:t>杜绝</w:t>
      </w:r>
      <w:r>
        <w:rPr>
          <w:rFonts w:hint="default" w:ascii="Times New Roman" w:hAnsi="Times New Roman" w:eastAsia="仿宋" w:cs="Times New Roman"/>
          <w:color w:val="000000"/>
          <w:sz w:val="24"/>
          <w:szCs w:val="24"/>
          <w:lang w:bidi="ar"/>
        </w:rPr>
        <w:t>向非法控制矿址、运输路线以及供应链上游行为主体，在矿址入口、运输路线沿线或矿产交易点非法征税或索要钱财或矿产，或者向中间商、出口企业或国际贸易者非法征税或进行勒索的公共或私人安全武装提供直接或间接支持。</w:t>
      </w:r>
      <w:r>
        <w:rPr>
          <w:rStyle w:val="6"/>
          <w:rFonts w:hint="default" w:ascii="Times New Roman" w:hAnsi="Times New Roman" w:eastAsia="仿宋" w:cs="Times New Roman"/>
          <w:color w:val="000000"/>
          <w:sz w:val="24"/>
          <w:szCs w:val="24"/>
          <w:lang w:bidi="ar"/>
        </w:rPr>
        <w:footnoteReference w:id="4"/>
      </w:r>
    </w:p>
    <w:p w14:paraId="6613A803">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我们认可，矿址及/或其周边地区以及/或运输道路沿线的公共或私人安全武装的作用仅是维护法治，包括保障人权、保护矿工、设备和设施安全、保护矿址或运输路线以使合法的开采和贸易不受干扰。 </w:t>
      </w:r>
    </w:p>
    <w:p w14:paraId="157FB620">
      <w:pPr>
        <w:numPr>
          <w:ilvl w:val="0"/>
          <w:numId w:val="6"/>
        </w:numPr>
        <w:spacing w:before="156" w:beforeLines="50" w:line="360" w:lineRule="auto"/>
        <w:rPr>
          <w:rFonts w:hint="default" w:ascii="Times New Roman" w:hAnsi="Times New Roman" w:eastAsia="仿宋" w:cs="Times New Roman"/>
          <w:color w:val="000000"/>
          <w:sz w:val="24"/>
          <w:szCs w:val="24"/>
          <w:lang w:bidi="ar"/>
        </w:rPr>
      </w:pPr>
      <w:r>
        <w:rPr>
          <w:rFonts w:hint="default" w:ascii="Times New Roman" w:hAnsi="Times New Roman" w:eastAsia="仿宋" w:cs="Times New Roman"/>
          <w:color w:val="000000"/>
          <w:sz w:val="24"/>
          <w:szCs w:val="24"/>
          <w:lang w:bidi="ar"/>
        </w:rPr>
        <w:t>在我们或我们供应链上的任何企业与公共或私人安全武装签订了合约的情况下，我们承诺或者将规定，</w:t>
      </w:r>
      <w:r>
        <w:rPr>
          <w:rFonts w:hint="default" w:ascii="Times New Roman" w:hAnsi="Times New Roman" w:eastAsia="仿宋" w:cs="Times New Roman"/>
          <w:color w:val="000000"/>
          <w:sz w:val="24"/>
          <w:szCs w:val="24"/>
          <w:lang w:eastAsia="zh-Hans" w:bidi="ar"/>
        </w:rPr>
        <w:t>这类安全武装需被公认的处理公共或私人安全武装的国际标准和指导性文件所认可</w:t>
      </w:r>
      <w:r>
        <w:rPr>
          <w:rStyle w:val="6"/>
          <w:rFonts w:hint="default" w:ascii="Times New Roman" w:hAnsi="Times New Roman" w:eastAsia="仿宋" w:cs="Times New Roman"/>
          <w:color w:val="000000"/>
          <w:sz w:val="24"/>
          <w:szCs w:val="24"/>
          <w:lang w:eastAsia="zh-Hans" w:bidi="ar"/>
        </w:rPr>
        <w:footnoteReference w:id="5"/>
      </w:r>
      <w:r>
        <w:rPr>
          <w:rFonts w:hint="default" w:ascii="Times New Roman" w:hAnsi="Times New Roman" w:eastAsia="仿宋" w:cs="Times New Roman"/>
          <w:color w:val="000000"/>
          <w:sz w:val="24"/>
          <w:szCs w:val="24"/>
          <w:lang w:eastAsia="zh-Hans" w:bidi="ar"/>
        </w:rPr>
        <w:t>。</w:t>
      </w:r>
      <w:r>
        <w:rPr>
          <w:rFonts w:hint="default" w:ascii="Times New Roman" w:hAnsi="Times New Roman" w:eastAsia="仿宋" w:cs="Times New Roman"/>
          <w:color w:val="000000"/>
          <w:sz w:val="24"/>
          <w:szCs w:val="24"/>
          <w:lang w:bidi="ar"/>
        </w:rPr>
        <w:t xml:space="preserve">尤其是，我们将会支持或采取措施运用筛查政策，确保已知的实施过严重侵犯人权行为的个人或安全武装单位不被录用。  </w:t>
      </w:r>
    </w:p>
    <w:p w14:paraId="5320ADD7">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我们将支持或采取措施与中央或地方政府、国际组织和民间社会组织开展合作，共同为如何提高公共安全武装安保费用的透明度、相称性和问责性找到可行的解决方案。 </w:t>
      </w:r>
    </w:p>
    <w:p w14:paraId="111A2893">
      <w:pPr>
        <w:numPr>
          <w:ilvl w:val="0"/>
          <w:numId w:val="6"/>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将支持或采取措施与当地政府、国际组织和民间社会组织开展互动，避免或最大限度地降低公共或私人安全武装驻扎在矿址给弱势群体带来的负面影响，尤其是对小作坊矿工的负面影响，在这种情况下，供应链上的矿产是通过小作坊或小规模采矿的方式开采出来的。 </w:t>
      </w:r>
    </w:p>
    <w:p w14:paraId="5B038F83">
      <w:pPr>
        <w:spacing w:before="156" w:beforeLines="50" w:line="360" w:lineRule="auto"/>
        <w:ind w:firstLine="482" w:firstLineChars="200"/>
        <w:rPr>
          <w:rFonts w:hint="default" w:ascii="Times New Roman" w:hAnsi="Times New Roman" w:eastAsia="仿宋" w:cs="Times New Roman"/>
          <w:color w:val="000000"/>
          <w:sz w:val="24"/>
          <w:szCs w:val="24"/>
        </w:rPr>
      </w:pPr>
      <w:bookmarkStart w:id="6" w:name="_Toc1075104189_WPSOffice_Level3"/>
      <w:r>
        <w:rPr>
          <w:rFonts w:hint="default" w:ascii="Times New Roman" w:hAnsi="Times New Roman" w:eastAsia="仿宋" w:cs="Times New Roman"/>
          <w:b/>
          <w:color w:val="000000"/>
          <w:sz w:val="24"/>
          <w:szCs w:val="24"/>
          <w:lang w:bidi="ar"/>
        </w:rPr>
        <w:t>风险缓解策略：</w:t>
      </w:r>
      <w:bookmarkEnd w:id="6"/>
      <w:r>
        <w:rPr>
          <w:rFonts w:hint="default" w:ascii="Times New Roman" w:hAnsi="Times New Roman" w:eastAsia="仿宋" w:cs="Times New Roman"/>
          <w:b/>
          <w:color w:val="000000"/>
          <w:sz w:val="24"/>
          <w:szCs w:val="24"/>
          <w:lang w:bidi="ar"/>
        </w:rPr>
        <w:t xml:space="preserve">  </w:t>
      </w:r>
    </w:p>
    <w:p w14:paraId="35EE92FF">
      <w:pPr>
        <w:numPr>
          <w:ilvl w:val="0"/>
          <w:numId w:val="6"/>
        </w:numPr>
        <w:spacing w:before="156" w:beforeLines="50" w:line="360" w:lineRule="auto"/>
        <w:rPr>
          <w:rFonts w:hint="default" w:ascii="Times New Roman" w:hAnsi="Times New Roman" w:eastAsia="仿宋" w:cs="Times New Roman"/>
          <w:b/>
          <w:color w:val="000000"/>
          <w:sz w:val="24"/>
          <w:szCs w:val="24"/>
          <w:lang w:bidi="ar"/>
        </w:rPr>
      </w:pPr>
      <w:r>
        <w:rPr>
          <w:rFonts w:hint="default" w:ascii="Times New Roman" w:hAnsi="Times New Roman" w:eastAsia="仿宋" w:cs="Times New Roman"/>
          <w:color w:val="000000"/>
          <w:sz w:val="24"/>
          <w:szCs w:val="24"/>
          <w:lang w:bidi="ar"/>
        </w:rPr>
        <w:t>如果我们发现在一定程度上存在此类风险，将根据企业在供应链上所处的具体位置，立即制定、采用和实施上游供应商及其他利益相关方风险管理计划</w:t>
      </w:r>
      <w:r>
        <w:rPr>
          <w:rStyle w:val="6"/>
          <w:rFonts w:hint="default" w:ascii="Times New Roman" w:hAnsi="Times New Roman" w:eastAsia="仿宋" w:cs="Times New Roman"/>
          <w:color w:val="000000"/>
          <w:sz w:val="24"/>
          <w:szCs w:val="24"/>
          <w:lang w:bidi="ar"/>
        </w:rPr>
        <w:footnoteReference w:id="6"/>
      </w:r>
      <w:r>
        <w:rPr>
          <w:rFonts w:hint="default" w:ascii="Times New Roman" w:hAnsi="Times New Roman" w:eastAsia="仿宋" w:cs="Times New Roman"/>
          <w:color w:val="000000"/>
          <w:sz w:val="24"/>
          <w:szCs w:val="24"/>
          <w:lang w:bidi="ar"/>
        </w:rPr>
        <w:t>，从而使为公共或私人安全武装提供直接或间接支持的风险得到遏制或降低。如果风险管理计划实施六个月未起作用，我们将暂时中止或</w:t>
      </w:r>
      <w:r>
        <w:rPr>
          <w:rFonts w:hint="default" w:ascii="Times New Roman" w:hAnsi="Times New Roman" w:eastAsia="仿宋" w:cs="Times New Roman"/>
          <w:color w:val="000000"/>
          <w:sz w:val="24"/>
          <w:szCs w:val="24"/>
          <w:lang w:eastAsia="zh-Hans" w:bidi="ar"/>
        </w:rPr>
        <w:t>终止</w:t>
      </w:r>
      <w:r>
        <w:rPr>
          <w:rFonts w:hint="default" w:ascii="Times New Roman" w:hAnsi="Times New Roman" w:eastAsia="仿宋" w:cs="Times New Roman"/>
          <w:color w:val="000000"/>
          <w:sz w:val="24"/>
          <w:szCs w:val="24"/>
          <w:lang w:bidi="ar"/>
        </w:rPr>
        <w:t>与上游供应商的合作</w:t>
      </w:r>
      <w:r>
        <w:rPr>
          <w:rStyle w:val="6"/>
          <w:rFonts w:hint="default" w:ascii="Times New Roman" w:hAnsi="Times New Roman" w:eastAsia="仿宋" w:cs="Times New Roman"/>
          <w:color w:val="000000"/>
          <w:sz w:val="24"/>
          <w:szCs w:val="24"/>
          <w:lang w:bidi="ar"/>
        </w:rPr>
        <w:footnoteReference w:id="7"/>
      </w:r>
      <w:r>
        <w:rPr>
          <w:rFonts w:hint="default" w:ascii="Times New Roman" w:hAnsi="Times New Roman" w:eastAsia="仿宋" w:cs="Times New Roman"/>
          <w:color w:val="000000"/>
          <w:sz w:val="24"/>
          <w:szCs w:val="24"/>
          <w:lang w:bidi="ar"/>
        </w:rPr>
        <w:t>。我们发现在一定程度上有可能存在有违上述</w:t>
      </w:r>
      <w:r>
        <w:rPr>
          <w:rFonts w:hint="default" w:ascii="Times New Roman" w:hAnsi="Times New Roman" w:eastAsia="仿宋" w:cs="Times New Roman"/>
          <w:color w:val="000000"/>
          <w:sz w:val="24"/>
          <w:szCs w:val="24"/>
          <w:lang w:eastAsia="zh-Hans" w:bidi="ar"/>
        </w:rPr>
        <w:t>第8段和第9段内容</w:t>
      </w:r>
      <w:r>
        <w:rPr>
          <w:rFonts w:hint="default" w:ascii="Times New Roman" w:hAnsi="Times New Roman" w:eastAsia="仿宋" w:cs="Times New Roman"/>
          <w:color w:val="000000"/>
          <w:sz w:val="24"/>
          <w:szCs w:val="24"/>
          <w:lang w:bidi="ar"/>
        </w:rPr>
        <w:t xml:space="preserve">的情况下，将采取同样的应对措施。 </w:t>
      </w:r>
    </w:p>
    <w:p w14:paraId="4878E59D">
      <w:pPr>
        <w:spacing w:before="156" w:beforeLines="50" w:line="360" w:lineRule="auto"/>
        <w:rPr>
          <w:rFonts w:hint="default" w:ascii="Times New Roman" w:hAnsi="Times New Roman" w:eastAsia="仿宋" w:cs="Times New Roman"/>
          <w:color w:val="000000"/>
          <w:sz w:val="24"/>
          <w:szCs w:val="24"/>
        </w:rPr>
      </w:pPr>
      <w:bookmarkStart w:id="7" w:name="_Toc2066075455_WPSOffice_Level2"/>
      <w:r>
        <w:rPr>
          <w:rFonts w:hint="default" w:ascii="Times New Roman" w:hAnsi="Times New Roman" w:eastAsia="仿宋" w:cs="Times New Roman"/>
          <w:b/>
          <w:color w:val="000000"/>
          <w:sz w:val="24"/>
          <w:szCs w:val="24"/>
          <w:lang w:bidi="ar"/>
        </w:rPr>
        <w:t>四、关于行贿受贿及矿产原产地的欺诈性失实陈述：</w:t>
      </w:r>
      <w:bookmarkEnd w:id="7"/>
      <w:r>
        <w:rPr>
          <w:rFonts w:hint="default" w:ascii="Times New Roman" w:hAnsi="Times New Roman" w:eastAsia="仿宋" w:cs="Times New Roman"/>
          <w:b/>
          <w:color w:val="000000"/>
          <w:sz w:val="24"/>
          <w:szCs w:val="24"/>
          <w:lang w:bidi="ar"/>
        </w:rPr>
        <w:t xml:space="preserve"> </w:t>
      </w:r>
    </w:p>
    <w:p w14:paraId="1041889F">
      <w:pPr>
        <w:numPr>
          <w:ilvl w:val="0"/>
          <w:numId w:val="7"/>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我们不会提出、承诺、进行或索要任何贿赂，并且抵制诱惑，不会为了掩盖或伪造矿产原产地，虚报矿产开采、贸易、处理、运输、出口等活动应向政府缴纳的税收、费用和特许开采费而行贿</w:t>
      </w:r>
      <w:r>
        <w:rPr>
          <w:rStyle w:val="6"/>
          <w:rFonts w:hint="default" w:ascii="Times New Roman" w:hAnsi="Times New Roman" w:eastAsia="仿宋" w:cs="Times New Roman"/>
          <w:color w:val="000000"/>
          <w:sz w:val="24"/>
          <w:szCs w:val="24"/>
          <w:lang w:bidi="ar"/>
        </w:rPr>
        <w:footnoteReference w:id="8"/>
      </w:r>
      <w:r>
        <w:rPr>
          <w:rFonts w:hint="default" w:ascii="Times New Roman" w:hAnsi="Times New Roman" w:eastAsia="仿宋" w:cs="Times New Roman"/>
          <w:color w:val="000000"/>
          <w:sz w:val="24"/>
          <w:szCs w:val="24"/>
          <w:lang w:bidi="ar"/>
        </w:rPr>
        <w:t>。</w:t>
      </w:r>
    </w:p>
    <w:p w14:paraId="5612F235">
      <w:pPr>
        <w:spacing w:before="156" w:beforeLines="50" w:line="360" w:lineRule="auto"/>
        <w:ind w:firstLine="482" w:firstLineChars="200"/>
        <w:rPr>
          <w:rFonts w:hint="default" w:ascii="Times New Roman" w:hAnsi="Times New Roman" w:eastAsia="仿宋" w:cs="Times New Roman"/>
          <w:color w:val="000000"/>
          <w:sz w:val="24"/>
          <w:szCs w:val="24"/>
        </w:rPr>
      </w:pPr>
      <w:bookmarkStart w:id="8" w:name="_Toc348698665_WPSOffice_Level3"/>
      <w:r>
        <w:rPr>
          <w:rFonts w:hint="default" w:ascii="Times New Roman" w:hAnsi="Times New Roman" w:eastAsia="仿宋" w:cs="Times New Roman"/>
          <w:b/>
          <w:color w:val="000000"/>
          <w:sz w:val="24"/>
          <w:szCs w:val="24"/>
          <w:lang w:bidi="ar"/>
        </w:rPr>
        <w:t>关于洗钱：</w:t>
      </w:r>
      <w:bookmarkEnd w:id="8"/>
      <w:r>
        <w:rPr>
          <w:rFonts w:hint="default" w:ascii="Times New Roman" w:hAnsi="Times New Roman" w:eastAsia="仿宋" w:cs="Times New Roman"/>
          <w:b/>
          <w:color w:val="000000"/>
          <w:sz w:val="24"/>
          <w:szCs w:val="24"/>
          <w:lang w:bidi="ar"/>
        </w:rPr>
        <w:t xml:space="preserve"> </w:t>
      </w:r>
    </w:p>
    <w:p w14:paraId="64C93E88">
      <w:pPr>
        <w:numPr>
          <w:ilvl w:val="0"/>
          <w:numId w:val="7"/>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如果我们有理由认为，存在因开采、贸易、处理、运输或出口在矿址入口、运输路线沿线、或上游供应商矿产交易地进行非法征税或勒索而得的矿产所引起或与之相关的洗钱风险，我们将支持或采取措施，为有效消除洗钱行为做出贡献。 </w:t>
      </w:r>
    </w:p>
    <w:p w14:paraId="5E5D403C">
      <w:pPr>
        <w:spacing w:before="156" w:beforeLines="50" w:line="360" w:lineRule="auto"/>
        <w:ind w:firstLine="482" w:firstLineChars="200"/>
        <w:rPr>
          <w:rFonts w:hint="default" w:ascii="Times New Roman" w:hAnsi="Times New Roman" w:eastAsia="仿宋" w:cs="Times New Roman"/>
          <w:b/>
          <w:color w:val="000000"/>
          <w:sz w:val="24"/>
          <w:szCs w:val="24"/>
          <w:lang w:bidi="ar"/>
        </w:rPr>
      </w:pPr>
      <w:bookmarkStart w:id="9" w:name="_Toc95589992_WPSOffice_Level3"/>
      <w:r>
        <w:rPr>
          <w:rFonts w:hint="default" w:ascii="Times New Roman" w:hAnsi="Times New Roman" w:eastAsia="仿宋" w:cs="Times New Roman"/>
          <w:b/>
          <w:color w:val="000000"/>
          <w:sz w:val="24"/>
          <w:szCs w:val="24"/>
          <w:lang w:bidi="ar"/>
        </w:rPr>
        <w:t>关于向政府支付的税收、费用及特许费：</w:t>
      </w:r>
      <w:bookmarkEnd w:id="9"/>
      <w:r>
        <w:rPr>
          <w:rFonts w:hint="default" w:ascii="Times New Roman" w:hAnsi="Times New Roman" w:eastAsia="仿宋" w:cs="Times New Roman"/>
          <w:b/>
          <w:color w:val="000000"/>
          <w:sz w:val="24"/>
          <w:szCs w:val="24"/>
          <w:lang w:bidi="ar"/>
        </w:rPr>
        <w:t xml:space="preserve"> </w:t>
      </w:r>
    </w:p>
    <w:p w14:paraId="5CBD39F6">
      <w:pPr>
        <w:numPr>
          <w:ilvl w:val="0"/>
          <w:numId w:val="7"/>
        </w:numPr>
        <w:spacing w:before="156" w:beforeLines="50" w:line="360" w:lineRule="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lang w:bidi="ar"/>
        </w:rPr>
        <w:t xml:space="preserve">我们将确保向政府支付所有与受冲突影响和高风险区域矿石开采、贸易、出口相关的合法税收、费用和特许费，并且承诺根据企业在供应链上所处位置依照所在国关于向政府部门缴纳的税费信息公开的要求对此类支付进行披露。 </w:t>
      </w:r>
    </w:p>
    <w:p w14:paraId="5215703B">
      <w:pPr>
        <w:spacing w:before="156" w:beforeLines="50" w:line="360" w:lineRule="auto"/>
        <w:ind w:firstLine="482" w:firstLineChars="200"/>
        <w:rPr>
          <w:rFonts w:hint="default" w:ascii="Times New Roman" w:hAnsi="Times New Roman" w:eastAsia="仿宋" w:cs="Times New Roman"/>
          <w:color w:val="000000"/>
          <w:sz w:val="24"/>
          <w:szCs w:val="24"/>
        </w:rPr>
      </w:pPr>
      <w:bookmarkStart w:id="10" w:name="_Toc263227588_WPSOffice_Level3"/>
      <w:r>
        <w:rPr>
          <w:rFonts w:hint="default" w:ascii="Times New Roman" w:hAnsi="Times New Roman" w:eastAsia="仿宋" w:cs="Times New Roman"/>
          <w:b/>
          <w:color w:val="000000"/>
          <w:sz w:val="24"/>
          <w:szCs w:val="24"/>
          <w:lang w:bidi="ar"/>
        </w:rPr>
        <w:t>风险缓解策略：</w:t>
      </w:r>
      <w:bookmarkEnd w:id="10"/>
      <w:r>
        <w:rPr>
          <w:rFonts w:hint="default" w:ascii="Times New Roman" w:hAnsi="Times New Roman" w:eastAsia="仿宋" w:cs="Times New Roman"/>
          <w:b/>
          <w:color w:val="000000"/>
          <w:sz w:val="24"/>
          <w:szCs w:val="24"/>
          <w:lang w:bidi="ar"/>
        </w:rPr>
        <w:t xml:space="preserve"> </w:t>
      </w:r>
    </w:p>
    <w:p w14:paraId="760E3A27">
      <w:pPr>
        <w:numPr>
          <w:ilvl w:val="0"/>
          <w:numId w:val="7"/>
        </w:numPr>
        <w:spacing w:before="156" w:beforeLines="50" w:line="360" w:lineRule="auto"/>
        <w:rPr>
          <w:rFonts w:hint="default" w:ascii="Times New Roman" w:hAnsi="Times New Roman" w:eastAsia="仿宋" w:cs="Times New Roman"/>
          <w:b/>
          <w:bCs/>
          <w:sz w:val="24"/>
          <w:szCs w:val="24"/>
        </w:rPr>
      </w:pPr>
      <w:r>
        <w:rPr>
          <w:rFonts w:hint="default" w:ascii="Times New Roman" w:hAnsi="Times New Roman" w:eastAsia="仿宋" w:cs="Times New Roman"/>
          <w:color w:val="000000"/>
          <w:sz w:val="24"/>
          <w:szCs w:val="24"/>
          <w:lang w:bidi="ar"/>
        </w:rPr>
        <w:t>根据企业在供应链上所处的具体位置，我们承诺与供应商、中央或地方政府机关、国际组织、民间社会以及受影响的第三方酌情进行合作，本着在合理的时间跨度内采取显著措施防范或降低有负面影响的风险的目的，对绩效进行改善或跟踪。风险降低措施未起作用的，我们将暂时</w:t>
      </w:r>
      <w:r>
        <w:rPr>
          <w:rFonts w:hint="default" w:ascii="Times New Roman" w:hAnsi="Times New Roman" w:eastAsia="仿宋" w:cs="Times New Roman"/>
          <w:color w:val="000000"/>
          <w:sz w:val="24"/>
          <w:szCs w:val="24"/>
          <w:lang w:eastAsia="zh-Hans" w:bidi="ar"/>
        </w:rPr>
        <w:t>中止</w:t>
      </w:r>
      <w:r>
        <w:rPr>
          <w:rFonts w:hint="default" w:ascii="Times New Roman" w:hAnsi="Times New Roman" w:eastAsia="仿宋" w:cs="Times New Roman"/>
          <w:color w:val="000000"/>
          <w:sz w:val="24"/>
          <w:szCs w:val="24"/>
          <w:lang w:bidi="ar"/>
        </w:rPr>
        <w:t>或</w:t>
      </w:r>
      <w:r>
        <w:rPr>
          <w:rFonts w:hint="default" w:ascii="Times New Roman" w:hAnsi="Times New Roman" w:eastAsia="仿宋" w:cs="Times New Roman"/>
          <w:color w:val="000000"/>
          <w:sz w:val="24"/>
          <w:szCs w:val="24"/>
          <w:lang w:eastAsia="zh-Hans" w:bidi="ar"/>
        </w:rPr>
        <w:t>终止</w:t>
      </w:r>
      <w:r>
        <w:rPr>
          <w:rFonts w:hint="default" w:ascii="Times New Roman" w:hAnsi="Times New Roman" w:eastAsia="仿宋" w:cs="Times New Roman"/>
          <w:color w:val="000000"/>
          <w:sz w:val="24"/>
          <w:szCs w:val="24"/>
          <w:lang w:bidi="ar"/>
        </w:rPr>
        <w:t>与上游供应商的合作。对采用风险管理计划后需要降低的风险，</w:t>
      </w:r>
      <w:r>
        <w:rPr>
          <w:rFonts w:hint="default" w:ascii="Times New Roman" w:hAnsi="Times New Roman" w:eastAsia="仿宋" w:cs="Times New Roman"/>
          <w:color w:val="000000"/>
          <w:sz w:val="24"/>
          <w:szCs w:val="24"/>
          <w:lang w:eastAsia="zh-Hans" w:bidi="ar"/>
        </w:rPr>
        <w:t>我们将</w:t>
      </w:r>
      <w:r>
        <w:rPr>
          <w:rFonts w:hint="default" w:ascii="Times New Roman" w:hAnsi="Times New Roman" w:eastAsia="仿宋" w:cs="Times New Roman"/>
          <w:color w:val="000000"/>
          <w:sz w:val="24"/>
          <w:szCs w:val="24"/>
          <w:lang w:bidi="ar"/>
        </w:rPr>
        <w:t>额外进行风险评估。若风险管理计划六个月内未取得明显效果，行贿受贿及对矿产产地进行欺诈性失实陈述、洗钱、以及向政府缴纳税款、费用、特许费等行为的风险未能得到遏制或降低的话，</w:t>
      </w:r>
      <w:r>
        <w:rPr>
          <w:rFonts w:hint="default" w:ascii="Times New Roman" w:hAnsi="Times New Roman" w:eastAsia="仿宋" w:cs="Times New Roman"/>
          <w:color w:val="000000"/>
          <w:sz w:val="24"/>
          <w:szCs w:val="24"/>
          <w:lang w:eastAsia="zh-Hans" w:bidi="ar"/>
        </w:rPr>
        <w:t>我们将</w:t>
      </w:r>
      <w:r>
        <w:rPr>
          <w:rFonts w:hint="default" w:ascii="Times New Roman" w:hAnsi="Times New Roman" w:eastAsia="仿宋" w:cs="Times New Roman"/>
          <w:color w:val="000000"/>
          <w:sz w:val="24"/>
          <w:szCs w:val="24"/>
          <w:lang w:bidi="ar"/>
        </w:rPr>
        <w:t>暂时停止或中断与供应商的合作，时间至少是三个月，并在暂时中止合作的同时对风险管理计划进行修订，阐明贸易关系恢复之前改进工作所应达到的绩效目标。</w:t>
      </w:r>
    </w:p>
    <w:p w14:paraId="3BB579C4">
      <w:pPr>
        <w:spacing w:line="360" w:lineRule="auto"/>
        <w:ind w:firstLine="480" w:firstLineChars="200"/>
        <w:rPr>
          <w:rFonts w:hint="default" w:ascii="Times New Roman" w:hAnsi="Times New Roman" w:eastAsia="仿宋" w:cs="Times New Roman"/>
          <w:sz w:val="24"/>
          <w:szCs w:val="24"/>
        </w:rPr>
      </w:pPr>
    </w:p>
    <w:p w14:paraId="2CE0DB35">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公司将本着持续改进的原则，将该政策融入公司管理体系及各相关部门职责。随企业运营、供应链与其他业务关系中出现的变化定期审阅和更新尽责管理政策。该政策也适用于公司</w:t>
      </w:r>
      <w:r>
        <w:rPr>
          <w:rFonts w:hint="default" w:ascii="Times New Roman" w:hAnsi="Times New Roman" w:eastAsia="仿宋" w:cs="Times New Roman"/>
          <w:sz w:val="24"/>
          <w:szCs w:val="24"/>
          <w:lang w:eastAsia="zh-Hans"/>
        </w:rPr>
        <w:t>业务合作伙伴</w:t>
      </w:r>
      <w:r>
        <w:rPr>
          <w:rFonts w:hint="default" w:ascii="Times New Roman" w:hAnsi="Times New Roman" w:eastAsia="仿宋" w:cs="Times New Roman"/>
          <w:sz w:val="24"/>
          <w:szCs w:val="24"/>
        </w:rPr>
        <w:t>，公司将采取积极措施将政策传递给</w:t>
      </w:r>
      <w:r>
        <w:rPr>
          <w:rFonts w:hint="default" w:ascii="Times New Roman" w:hAnsi="Times New Roman" w:eastAsia="仿宋" w:cs="Times New Roman"/>
          <w:sz w:val="24"/>
          <w:szCs w:val="24"/>
          <w:lang w:eastAsia="zh-Hans"/>
        </w:rPr>
        <w:t>业务合作伙伴</w:t>
      </w:r>
      <w:r>
        <w:rPr>
          <w:rFonts w:hint="default" w:ascii="Times New Roman" w:hAnsi="Times New Roman" w:eastAsia="仿宋" w:cs="Times New Roman"/>
          <w:sz w:val="24"/>
          <w:szCs w:val="24"/>
        </w:rPr>
        <w:t>，政策自发布之日起生效，并公开发布。</w:t>
      </w:r>
    </w:p>
    <w:p w14:paraId="5D6A625E">
      <w:pPr>
        <w:snapToGrid w:val="0"/>
        <w:spacing w:line="360" w:lineRule="auto"/>
        <w:jc w:val="right"/>
        <w:rPr>
          <w:rFonts w:hint="default" w:ascii="Times New Roman" w:hAnsi="Times New Roman" w:eastAsia="仿宋" w:cs="Times New Roman"/>
          <w:sz w:val="24"/>
          <w:szCs w:val="24"/>
        </w:rPr>
      </w:pPr>
    </w:p>
    <w:p w14:paraId="7F12FF8E">
      <w:pPr>
        <w:snapToGrid w:val="0"/>
        <w:spacing w:before="156" w:line="360" w:lineRule="auto"/>
        <w:jc w:val="center"/>
        <w:rPr>
          <w:rFonts w:hint="default" w:ascii="Times New Roman" w:hAnsi="Times New Roman" w:cs="Times New Roman"/>
          <w:b/>
          <w:bCs/>
          <w:sz w:val="32"/>
          <w:szCs w:val="32"/>
        </w:rPr>
      </w:pPr>
      <w:bookmarkStart w:id="11" w:name="_Hlk82782266"/>
      <w:r>
        <w:rPr>
          <w:rFonts w:hint="default" w:ascii="Times New Roman" w:hAnsi="Times New Roman" w:cs="Times New Roman"/>
          <w:b/>
          <w:bCs/>
          <w:sz w:val="32"/>
          <w:szCs w:val="32"/>
        </w:rPr>
        <w:t xml:space="preserve"> Supply Chain Due Diligence Policy</w:t>
      </w:r>
    </w:p>
    <w:bookmarkEnd w:id="11"/>
    <w:p w14:paraId="361395A0">
      <w:pPr>
        <w:spacing w:before="240" w:line="360" w:lineRule="auto"/>
        <w:rPr>
          <w:rFonts w:hint="default" w:ascii="Times New Roman" w:hAnsi="Times New Roman" w:cs="Times New Roman"/>
          <w:sz w:val="24"/>
          <w:szCs w:val="24"/>
        </w:rPr>
      </w:pPr>
      <w:bookmarkStart w:id="12" w:name="_Hlk82527400"/>
      <w:r>
        <w:rPr>
          <w:rFonts w:hint="default" w:ascii="Times New Roman" w:hAnsi="Times New Roman" w:cs="Times New Roman"/>
          <w:sz w:val="24"/>
          <w:szCs w:val="24"/>
          <w:lang w:val="en-US"/>
        </w:rPr>
        <w:t>Our company</w:t>
      </w:r>
      <w:r>
        <w:rPr>
          <w:rFonts w:hint="default" w:ascii="Times New Roman" w:hAnsi="Times New Roman" w:cs="Times New Roman"/>
          <w:sz w:val="24"/>
          <w:szCs w:val="24"/>
        </w:rPr>
        <w:t xml:space="preserve"> recognized the risks of significant adverse impacts which may be associated with extracting, trading, processing, and exporting minerals from conflict-affected and high-risk areas, and that we have the responsibility to respect human rights and not contribute to conflict, we commit to adopt and widely disseminate the policy of Chinese Due Diligence Guidelines for Responsible Mineral Supply Chains and OECD Due Diligence Guidance for Responsible Supply Chains of Minerals from Conflict-Affected and High-Risk Areas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incorporate the policy in contracts and/or agreements with suppliers.</w:t>
      </w:r>
    </w:p>
    <w:p w14:paraId="59D55041">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This policy provides a common reference for conflict-sensitive sourcing practices and suppliers’ risk awareness from the point of extraction until the end user. We commit not to get involved in any activities which contribute to the financing of conflict and we commit to comply with relevant United Nations sanctions resolutions.</w:t>
      </w:r>
    </w:p>
    <w:p w14:paraId="7A94F080">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are committed to identifying and managing the following risks in the supply chain:  </w:t>
      </w:r>
    </w:p>
    <w:p w14:paraId="637C05A4">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 Regarding serious abuses associated with the extraction, transport or trade of minerals: </w:t>
      </w:r>
    </w:p>
    <w:p w14:paraId="209A41FB">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While sourcing from, or operating in, conflict-affected and high-risk areas, we will neither tolerate nor by any means profit from, contribute to, assist with or facilitate the commission by any party of:</w:t>
      </w:r>
    </w:p>
    <w:p w14:paraId="38F77D7B">
      <w:pPr>
        <w:pStyle w:val="8"/>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any forms of torture, cruel, inhuman and degrading treatment; </w:t>
      </w:r>
    </w:p>
    <w:p w14:paraId="0C3736CC">
      <w:pPr>
        <w:pStyle w:val="8"/>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any forms of forced or compulsory labour, which means work or service which is exacted from any person under the menace of penalty and for which said person has not offered himself voluntarily; </w:t>
      </w:r>
    </w:p>
    <w:p w14:paraId="4879BC17">
      <w:pPr>
        <w:pStyle w:val="8"/>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the worst forms of child labour; </w:t>
      </w:r>
    </w:p>
    <w:p w14:paraId="67A5DB5B">
      <w:pPr>
        <w:pStyle w:val="8"/>
        <w:numPr>
          <w:ilvl w:val="0"/>
          <w:numId w:val="8"/>
        </w:numPr>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other gross human rights violations and abuses such as widespread sexual violence; </w:t>
      </w:r>
    </w:p>
    <w:p w14:paraId="5CC14D0C">
      <w:pPr>
        <w:pStyle w:val="8"/>
        <w:numPr>
          <w:ilvl w:val="0"/>
          <w:numId w:val="8"/>
        </w:numPr>
        <w:spacing w:before="240" w:line="360" w:lineRule="auto"/>
        <w:ind w:firstLineChars="0"/>
        <w:rPr>
          <w:rFonts w:hint="default" w:ascii="Times New Roman" w:hAnsi="Times New Roman" w:eastAsia="Songti SC Regular" w:cs="Times New Roman"/>
          <w:color w:val="000000"/>
          <w:sz w:val="24"/>
          <w:szCs w:val="24"/>
          <w:lang w:bidi="ar"/>
        </w:rPr>
      </w:pPr>
      <w:r>
        <w:rPr>
          <w:rFonts w:hint="default" w:ascii="Times New Roman" w:hAnsi="Times New Roman" w:cs="Times New Roman"/>
          <w:sz w:val="24"/>
          <w:szCs w:val="24"/>
        </w:rPr>
        <w:t>war crimes or other serious violations of international humanitarian law, crimes against humanity or genocide.</w:t>
      </w:r>
    </w:p>
    <w:p w14:paraId="6D4BF1B2">
      <w:pPr>
        <w:pStyle w:val="8"/>
        <w:spacing w:before="240" w:line="360" w:lineRule="auto"/>
        <w:ind w:firstLine="0" w:firstLineChars="0"/>
        <w:rPr>
          <w:rFonts w:hint="default" w:ascii="Times New Roman" w:hAnsi="Times New Roman" w:eastAsia="Songti SC Regular" w:cs="Times New Roman"/>
          <w:b/>
          <w:bCs/>
          <w:color w:val="000000"/>
          <w:sz w:val="24"/>
          <w:szCs w:val="24"/>
          <w:lang w:bidi="ar"/>
        </w:rPr>
      </w:pPr>
      <w:r>
        <w:rPr>
          <w:rFonts w:hint="default" w:ascii="Times New Roman" w:hAnsi="Times New Roman" w:eastAsia="Songti SC Regular" w:cs="Times New Roman"/>
          <w:b/>
          <w:bCs/>
          <w:color w:val="000000"/>
          <w:sz w:val="24"/>
          <w:szCs w:val="24"/>
          <w:lang w:bidi="ar"/>
        </w:rPr>
        <w:t xml:space="preserve">Risk mitigation measures: </w:t>
      </w:r>
    </w:p>
    <w:p w14:paraId="1CB554CB">
      <w:pPr>
        <w:pStyle w:val="8"/>
        <w:spacing w:before="240" w:line="360" w:lineRule="auto"/>
        <w:ind w:firstLine="0" w:firstLineChars="0"/>
        <w:rPr>
          <w:rFonts w:hint="default" w:ascii="Times New Roman" w:hAnsi="Times New Roman" w:eastAsia="Songti SC Regular" w:cs="Times New Roman"/>
          <w:color w:val="000000"/>
          <w:sz w:val="24"/>
          <w:szCs w:val="24"/>
          <w:lang w:bidi="ar"/>
        </w:rPr>
      </w:pPr>
      <w:r>
        <w:rPr>
          <w:rFonts w:hint="default" w:ascii="Times New Roman" w:hAnsi="Times New Roman" w:eastAsia="Songti SC Regular" w:cs="Times New Roman"/>
          <w:color w:val="000000"/>
          <w:sz w:val="24"/>
          <w:szCs w:val="24"/>
          <w:lang w:bidi="ar"/>
        </w:rPr>
        <w:t>We will immediately suspend or discontinue engagement with upstream suppliers where we identify a reasonable risk that they are sourcing from, or linked to, any party committing serious abuses as defined above.</w:t>
      </w:r>
    </w:p>
    <w:p w14:paraId="5C5705F2">
      <w:pPr>
        <w:tabs>
          <w:tab w:val="left" w:pos="0"/>
        </w:tabs>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II. Regarding direct or indirect support to non-state armed groups</w:t>
      </w:r>
      <w:r>
        <w:rPr>
          <w:rStyle w:val="6"/>
          <w:rFonts w:hint="default" w:ascii="Times New Roman" w:hAnsi="Times New Roman" w:cs="Times New Roman"/>
          <w:b/>
          <w:bCs/>
          <w:sz w:val="24"/>
          <w:szCs w:val="24"/>
        </w:rPr>
        <w:footnoteReference w:id="9"/>
      </w:r>
      <w:r>
        <w:rPr>
          <w:rFonts w:hint="default" w:ascii="Times New Roman" w:hAnsi="Times New Roman" w:cs="Times New Roman"/>
          <w:b/>
          <w:bCs/>
          <w:sz w:val="24"/>
          <w:szCs w:val="24"/>
        </w:rPr>
        <w:t>:</w:t>
      </w:r>
    </w:p>
    <w:p w14:paraId="674EF8C4">
      <w:pPr>
        <w:tabs>
          <w:tab w:val="left" w:pos="0"/>
        </w:tabs>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will not tolerate any direct or indirect support to non-state armed groups through the extraction, transport, trade, handling or export of minerals. “Direct or indirect support” to non-state armed groups through the extraction, transport, trade, handling or export of minerals includes, but is not limited to, procuring minerals from, making payments to or otherwise providing logistical assistance or equipment to, non-state armed groups or their affiliates</w:t>
      </w:r>
      <w:r>
        <w:rPr>
          <w:rStyle w:val="6"/>
          <w:rFonts w:hint="default" w:ascii="Times New Roman" w:hAnsi="Times New Roman" w:cs="Times New Roman"/>
          <w:sz w:val="24"/>
          <w:szCs w:val="24"/>
        </w:rPr>
        <w:footnoteReference w:id="10"/>
      </w:r>
      <w:r>
        <w:rPr>
          <w:rFonts w:hint="default" w:ascii="Times New Roman" w:hAnsi="Times New Roman" w:cs="Times New Roman"/>
          <w:sz w:val="24"/>
          <w:szCs w:val="24"/>
        </w:rPr>
        <w:t xml:space="preserve"> who: </w:t>
      </w:r>
    </w:p>
    <w:p w14:paraId="1D050D1C">
      <w:pPr>
        <w:pStyle w:val="8"/>
        <w:numPr>
          <w:ilvl w:val="0"/>
          <w:numId w:val="9"/>
        </w:numPr>
        <w:tabs>
          <w:tab w:val="left" w:pos="0"/>
        </w:tabs>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illegally control mine sites or otherwise control transportation routes, points where minerals are traded and upstream actors in the supply chain</w:t>
      </w:r>
      <w:r>
        <w:rPr>
          <w:rStyle w:val="6"/>
          <w:rFonts w:hint="default" w:ascii="Times New Roman" w:hAnsi="Times New Roman" w:cs="Times New Roman"/>
          <w:sz w:val="24"/>
          <w:szCs w:val="24"/>
        </w:rPr>
        <w:footnoteReference w:id="11"/>
      </w:r>
      <w:r>
        <w:rPr>
          <w:rFonts w:hint="default" w:ascii="Times New Roman" w:hAnsi="Times New Roman" w:cs="Times New Roman"/>
          <w:sz w:val="24"/>
          <w:szCs w:val="24"/>
        </w:rPr>
        <w:t xml:space="preserve">; and/or </w:t>
      </w:r>
    </w:p>
    <w:p w14:paraId="7E237819">
      <w:pPr>
        <w:pStyle w:val="8"/>
        <w:numPr>
          <w:ilvl w:val="0"/>
          <w:numId w:val="9"/>
        </w:numPr>
        <w:tabs>
          <w:tab w:val="left" w:pos="0"/>
        </w:tabs>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illegally tax or extort</w:t>
      </w:r>
      <w:r>
        <w:rPr>
          <w:rStyle w:val="6"/>
          <w:rFonts w:hint="default" w:ascii="Times New Roman" w:hAnsi="Times New Roman" w:cs="Times New Roman"/>
          <w:sz w:val="24"/>
          <w:szCs w:val="24"/>
        </w:rPr>
        <w:footnoteReference w:id="12"/>
      </w:r>
      <w:r>
        <w:rPr>
          <w:rFonts w:hint="default" w:ascii="Times New Roman" w:hAnsi="Times New Roman" w:cs="Times New Roman"/>
          <w:sz w:val="24"/>
          <w:szCs w:val="24"/>
        </w:rPr>
        <w:t xml:space="preserve"> money or minerals at points of access to mine sites, along transportation routes or at points where mineral are traded; and/or </w:t>
      </w:r>
    </w:p>
    <w:p w14:paraId="63674F01">
      <w:pPr>
        <w:pStyle w:val="8"/>
        <w:numPr>
          <w:ilvl w:val="0"/>
          <w:numId w:val="9"/>
        </w:numPr>
        <w:tabs>
          <w:tab w:val="left" w:pos="0"/>
        </w:tabs>
        <w:spacing w:before="240" w:line="360" w:lineRule="auto"/>
        <w:ind w:firstLineChars="0"/>
        <w:rPr>
          <w:rFonts w:hint="default" w:ascii="Times New Roman" w:hAnsi="Times New Roman" w:cs="Times New Roman"/>
          <w:sz w:val="24"/>
          <w:szCs w:val="24"/>
        </w:rPr>
      </w:pPr>
      <w:r>
        <w:rPr>
          <w:rFonts w:hint="default" w:ascii="Times New Roman" w:hAnsi="Times New Roman" w:cs="Times New Roman"/>
          <w:sz w:val="24"/>
          <w:szCs w:val="24"/>
        </w:rPr>
        <w:t>illegally tax or extort intermediaries, export companies or internal trader.</w:t>
      </w:r>
    </w:p>
    <w:p w14:paraId="760E4098">
      <w:pPr>
        <w:pStyle w:val="8"/>
        <w:tabs>
          <w:tab w:val="left" w:pos="0"/>
        </w:tabs>
        <w:spacing w:before="240" w:line="360" w:lineRule="auto"/>
        <w:ind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Risk mitigation measures: </w:t>
      </w:r>
    </w:p>
    <w:p w14:paraId="3648DFCB">
      <w:pPr>
        <w:pStyle w:val="8"/>
        <w:tabs>
          <w:tab w:val="left" w:pos="0"/>
        </w:tabs>
        <w:spacing w:before="240" w:line="360" w:lineRule="auto"/>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We will immediately suspend or discontinue engagement with upstream suppliers where we identify a reasonable risk that they are sourcing from, or linked to, any party providing direct or indirect support to non-state armed groups.</w:t>
      </w:r>
    </w:p>
    <w:p w14:paraId="2189E51D">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III. Regarding public or private security forces: </w:t>
      </w:r>
    </w:p>
    <w:p w14:paraId="34E9F92A">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disagree to provide direct or indirect support to public or private security forces who illegally control mine sites, transportation routes and upstream actors in the supply chain; illegally tax or extort money or minerals at point of access to mine sites, along transportation routes or at points where minerals are traded; or illegally tax or extort intermediaries, export companies or international traders</w:t>
      </w:r>
      <w:r>
        <w:rPr>
          <w:rStyle w:val="6"/>
          <w:rFonts w:hint="default" w:ascii="Times New Roman" w:hAnsi="Times New Roman" w:cs="Times New Roman"/>
          <w:sz w:val="24"/>
          <w:szCs w:val="24"/>
        </w:rPr>
        <w:footnoteReference w:id="13"/>
      </w:r>
      <w:r>
        <w:rPr>
          <w:rFonts w:hint="default" w:ascii="Times New Roman" w:hAnsi="Times New Roman" w:cs="Times New Roman"/>
          <w:sz w:val="24"/>
          <w:szCs w:val="24"/>
        </w:rPr>
        <w:t>.</w:t>
      </w:r>
    </w:p>
    <w:p w14:paraId="3C91689A">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recognise that the role of public or private security forces at the mine sites and/or surrounding areas and/or along transportation routes should be solely to maintain the rule of law, including safeguarding human rights, providing security to mine workers, equipment and facilities, and protecting the mine site or transportation routes from interference with legitimate extraction and trade. </w:t>
      </w:r>
    </w:p>
    <w:p w14:paraId="4F17DD2A">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Where we or any company in our supply chain contract public or private security forces, we commit to or we will require that such security forces will be engaged in accordance with the international widely recognized standards</w:t>
      </w:r>
      <w:r>
        <w:rPr>
          <w:rStyle w:val="6"/>
          <w:rFonts w:hint="default" w:ascii="Times New Roman" w:hAnsi="Times New Roman" w:cs="Times New Roman"/>
          <w:sz w:val="24"/>
          <w:szCs w:val="24"/>
        </w:rPr>
        <w:footnoteReference w:id="14"/>
      </w:r>
      <w:r>
        <w:rPr>
          <w:rFonts w:hint="default" w:ascii="Times New Roman" w:hAnsi="Times New Roman" w:cs="Times New Roman"/>
          <w:sz w:val="24"/>
          <w:szCs w:val="24"/>
        </w:rPr>
        <w:t xml:space="preserve">. In particular, we will support or take steps, to adopt screening policies to ensure that individuals or units of security forces that are known to have been responsible for gross human rights abuses will not be hired. </w:t>
      </w:r>
    </w:p>
    <w:p w14:paraId="29C4E266">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will support efforts, or take steps, to engage with central or local authorities, international organisations and civil society organisations to contribute to workable solutions on how transparency, proportionality and accountability in payments made to public security forces for the provision of security could be improved. </w:t>
      </w:r>
    </w:p>
    <w:p w14:paraId="06D02EA1">
      <w:pPr>
        <w:spacing w:before="240" w:line="360" w:lineRule="auto"/>
        <w:rPr>
          <w:rFonts w:hint="default" w:ascii="Times New Roman" w:hAnsi="Times New Roman" w:eastAsia="Songti SC Regular" w:cs="Times New Roman"/>
          <w:color w:val="000000"/>
          <w:sz w:val="24"/>
          <w:szCs w:val="24"/>
          <w:lang w:bidi="ar"/>
        </w:rPr>
      </w:pPr>
      <w:r>
        <w:rPr>
          <w:rFonts w:hint="default" w:ascii="Times New Roman" w:hAnsi="Times New Roman" w:cs="Times New Roman"/>
          <w:sz w:val="24"/>
          <w:szCs w:val="24"/>
        </w:rPr>
        <w:t>We will support efforts, or take steps, to engage with local authorities, international organisations and civil society organisations to avoid or minimise the exposure of vulnerable groups, in particular, artisanal miners where minerals in the supply chain are extracted through artisanal or small-scale mining, to adverse impacts associated with the presence of security forces, public or private, on mine sites.</w:t>
      </w:r>
      <w:r>
        <w:rPr>
          <w:rFonts w:hint="default" w:ascii="Times New Roman" w:hAnsi="Times New Roman" w:eastAsia="Songti SC Regular" w:cs="Times New Roman"/>
          <w:color w:val="000000"/>
          <w:sz w:val="24"/>
          <w:szCs w:val="24"/>
          <w:lang w:bidi="ar"/>
        </w:rPr>
        <w:t xml:space="preserve"> </w:t>
      </w:r>
      <w:bookmarkEnd w:id="12"/>
    </w:p>
    <w:p w14:paraId="7E9AD786">
      <w:pPr>
        <w:spacing w:before="240" w:line="360" w:lineRule="auto"/>
        <w:rPr>
          <w:rFonts w:hint="default" w:ascii="Times New Roman" w:hAnsi="Times New Roman" w:eastAsia="Songti SC Regular" w:cs="Times New Roman"/>
          <w:b/>
          <w:bCs/>
          <w:color w:val="000000"/>
          <w:sz w:val="24"/>
          <w:szCs w:val="24"/>
          <w:lang w:bidi="ar"/>
        </w:rPr>
      </w:pPr>
      <w:r>
        <w:rPr>
          <w:rFonts w:hint="default" w:ascii="Times New Roman" w:hAnsi="Times New Roman" w:eastAsia="Songti SC Regular" w:cs="Times New Roman"/>
          <w:b/>
          <w:bCs/>
          <w:color w:val="000000"/>
          <w:sz w:val="24"/>
          <w:szCs w:val="24"/>
          <w:lang w:bidi="ar"/>
        </w:rPr>
        <w:t xml:space="preserve">Risk mitigation measures: </w:t>
      </w:r>
    </w:p>
    <w:p w14:paraId="1574268B">
      <w:pPr>
        <w:spacing w:before="240" w:line="360" w:lineRule="auto"/>
        <w:rPr>
          <w:rFonts w:hint="default" w:ascii="Times New Roman" w:hAnsi="Times New Roman" w:eastAsia="Songti SC Regular" w:cs="Times New Roman"/>
          <w:color w:val="000000"/>
          <w:sz w:val="24"/>
          <w:szCs w:val="24"/>
          <w:lang w:bidi="ar"/>
        </w:rPr>
      </w:pPr>
      <w:r>
        <w:rPr>
          <w:rFonts w:hint="default" w:ascii="Times New Roman" w:hAnsi="Times New Roman" w:eastAsia="Songti SC Regular" w:cs="Times New Roman"/>
          <w:color w:val="000000"/>
          <w:sz w:val="24"/>
          <w:szCs w:val="24"/>
          <w:lang w:bidi="ar"/>
        </w:rPr>
        <w:t>In accordance with the specific position of the company in the supply chain, we will immediately devise, adopt and implement a risk management plan</w:t>
      </w:r>
      <w:r>
        <w:rPr>
          <w:rStyle w:val="6"/>
          <w:rFonts w:hint="default" w:ascii="Times New Roman" w:hAnsi="Times New Roman" w:eastAsia="Songti SC Regular" w:cs="Times New Roman"/>
          <w:color w:val="000000"/>
          <w:sz w:val="24"/>
          <w:szCs w:val="24"/>
          <w:lang w:bidi="ar"/>
        </w:rPr>
        <w:footnoteReference w:id="15"/>
      </w:r>
      <w:r>
        <w:rPr>
          <w:rFonts w:hint="default" w:ascii="Times New Roman" w:hAnsi="Times New Roman" w:eastAsia="Songti SC Regular" w:cs="Times New Roman"/>
          <w:color w:val="000000"/>
          <w:sz w:val="24"/>
          <w:szCs w:val="24"/>
          <w:lang w:bidi="ar"/>
        </w:rPr>
        <w:t xml:space="preserve"> with upstream suppliers and other stakeholders to prevent or mitigate the risk of direct or indirect support to public or private security forces, where we identify that such a reasonable risk exists. In such cases, we will suspend or discontinue engagement with upstream suppliers after failed attempts at mitigation within six months from the adoption of the risk management plan</w:t>
      </w:r>
      <w:r>
        <w:rPr>
          <w:rStyle w:val="6"/>
          <w:rFonts w:hint="default" w:ascii="Times New Roman" w:hAnsi="Times New Roman" w:eastAsia="Songti SC Regular" w:cs="Times New Roman"/>
          <w:color w:val="000000"/>
          <w:sz w:val="24"/>
          <w:szCs w:val="24"/>
          <w:lang w:bidi="ar"/>
        </w:rPr>
        <w:footnoteReference w:id="16"/>
      </w:r>
      <w:r>
        <w:rPr>
          <w:rFonts w:hint="default" w:ascii="Times New Roman" w:hAnsi="Times New Roman" w:eastAsia="Songti SC Regular" w:cs="Times New Roman"/>
          <w:color w:val="000000"/>
          <w:sz w:val="24"/>
          <w:szCs w:val="24"/>
          <w:lang w:bidi="ar"/>
        </w:rPr>
        <w:t>.</w:t>
      </w:r>
    </w:p>
    <w:p w14:paraId="5DF6B202">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IV. Regarding bribery and fraudulent misrepresentation of the origin of minerals: </w:t>
      </w:r>
    </w:p>
    <w:p w14:paraId="6CF07067">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will not offer, promise, give or demand any bribes, and will resist the solicitation of bribes to conceal or disguise the origin of minerals, to misrepresent taxes, fees and royalties paid to governments for the purposes of mineral extraction, trade, handling, transport and export</w:t>
      </w:r>
      <w:r>
        <w:rPr>
          <w:rStyle w:val="6"/>
          <w:rFonts w:hint="default" w:ascii="Times New Roman" w:hAnsi="Times New Roman" w:cs="Times New Roman"/>
          <w:sz w:val="24"/>
          <w:szCs w:val="24"/>
        </w:rPr>
        <w:footnoteReference w:id="17"/>
      </w:r>
      <w:r>
        <w:rPr>
          <w:rFonts w:hint="default" w:ascii="Times New Roman" w:hAnsi="Times New Roman" w:cs="Times New Roman"/>
          <w:sz w:val="24"/>
          <w:szCs w:val="24"/>
        </w:rPr>
        <w:t>.</w:t>
      </w:r>
    </w:p>
    <w:p w14:paraId="09D180CE">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Regarding money laundering: </w:t>
      </w:r>
    </w:p>
    <w:p w14:paraId="7C76F234">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We will support efforts, or take steps, to contribute to the effective elimination of money laundering where we identify a reasonable risk of money-laundering resulting from, or connected to, the extraction, trade, handling, transport or export of minerals derived from the illegal taxation or extortion of minerals at points of access to mine sites, along transportation routes or at points where minerals are traded by upstream suppliers. </w:t>
      </w:r>
    </w:p>
    <w:p w14:paraId="425CF897">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Regarding the payment of taxes, fees and royalties due to governments: </w:t>
      </w:r>
    </w:p>
    <w:p w14:paraId="38B4E3F6">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We will ensure that all taxes, fees, and royalties related to mineral extraction, trade and export from conflict-affected and high-risk areas are paid to governments and, in accordance with the company’s position in the supply chain, we commit to disclose such payments in accordance with the requirements of host country on the disclosure of tax information paid to government departments.</w:t>
      </w:r>
    </w:p>
    <w:p w14:paraId="4F01FB83">
      <w:pPr>
        <w:spacing w:before="240" w:line="360" w:lineRule="auto"/>
        <w:rPr>
          <w:rFonts w:hint="default" w:ascii="Times New Roman" w:hAnsi="Times New Roman" w:cs="Times New Roman"/>
          <w:b/>
          <w:bCs/>
          <w:sz w:val="24"/>
          <w:szCs w:val="24"/>
        </w:rPr>
      </w:pPr>
      <w:r>
        <w:rPr>
          <w:rFonts w:hint="default" w:ascii="Times New Roman" w:hAnsi="Times New Roman" w:cs="Times New Roman"/>
          <w:b/>
          <w:bCs/>
          <w:sz w:val="24"/>
          <w:szCs w:val="24"/>
        </w:rPr>
        <w:t>Risk mitigation measures:</w:t>
      </w:r>
    </w:p>
    <w:p w14:paraId="7855617E">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In accordance with the specific position of the company in the supply chain, we commit to engage with suppliers, central or local governmental authorities, international organisations, civil society and affected third parties, as appropriate, to improve and track performance with a view to preventing or mitigating risks of adverse impacts through measureable steps taken in reasonable timescales. We will suspend or discontinue engagement with upstream suppliers after failed attempts at mitigation. Companies should conduct an additional risk assessment on those risks requiring mitigation after the adoption of the risk management plan. If within six months from the adoption of the risk management plan there is no significant measurable improvement to prevent or mitigate the risks of bribery and fraudulent misrepresentation of the origin of minerals, money-laundering and payment of taxes, fees and royalties to governments, companies should suspend or discontinue engagement with the supplier for a minimum of three months. Suspension may be accompanied by a revised risk management plan, stating the performance objectives for progressive improvement that should be met before resuming the trade relationship.</w:t>
      </w:r>
    </w:p>
    <w:p w14:paraId="792A20AB">
      <w:pPr>
        <w:spacing w:before="240" w:line="360" w:lineRule="auto"/>
        <w:rPr>
          <w:rFonts w:hint="default" w:ascii="Times New Roman" w:hAnsi="Times New Roman" w:cs="Times New Roman"/>
          <w:sz w:val="24"/>
          <w:szCs w:val="24"/>
        </w:rPr>
      </w:pPr>
      <w:r>
        <w:rPr>
          <w:rFonts w:hint="default" w:ascii="Times New Roman" w:hAnsi="Times New Roman" w:cs="Times New Roman"/>
          <w:sz w:val="24"/>
          <w:szCs w:val="24"/>
        </w:rPr>
        <w:t>Our company is committed to continuous improvement, and we have integrated this principle into our overall management system and the responsibilities of all relevant departments. We regularly review and update our policy to reflect changes in our operations, supply chain, and other business relationships. This policy applies to all our suppliers as well, and we will take active measures to ensure that they are aware of and adhere to this policy. The policy will come into effect immediately and will be published publicly.</w:t>
      </w:r>
    </w:p>
    <w:p w14:paraId="39A3F994"/>
    <w:p w14:paraId="7340055D"/>
    <w:p w14:paraId="766E7CAD"/>
    <w:p w14:paraId="444F9490"/>
    <w:p w14:paraId="1BB6E452">
      <w:pPr>
        <w:jc w:val="center"/>
        <w:rPr>
          <w:rFonts w:hint="default" w:ascii="Times New Roman" w:hAnsi="Times New Roman" w:eastAsia="宋体" w:cs="Times New Roman"/>
          <w:b/>
          <w:sz w:val="32"/>
          <w:szCs w:val="32"/>
        </w:rPr>
      </w:pPr>
      <w:bookmarkStart w:id="13" w:name="_Toc422056110"/>
      <w:r>
        <w:rPr>
          <w:rStyle w:val="7"/>
          <w:rFonts w:hint="default" w:ascii="Times New Roman" w:hAnsi="Times New Roman" w:cs="Times New Roman"/>
        </w:rPr>
        <w:t>供应链尽责管理申诉机制</w:t>
      </w:r>
      <w:bookmarkEnd w:id="13"/>
    </w:p>
    <w:p w14:paraId="477EE900">
      <w:pPr>
        <w:spacing w:line="360" w:lineRule="auto"/>
        <w:ind w:firstLine="420"/>
        <w:rPr>
          <w:rFonts w:hint="default" w:ascii="Times New Roman" w:hAnsi="Times New Roman" w:eastAsia="宋体" w:cs="Times New Roman"/>
        </w:rPr>
      </w:pPr>
    </w:p>
    <w:p w14:paraId="1F8D5D82">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为了及时</w:t>
      </w:r>
      <w:r>
        <w:rPr>
          <w:rFonts w:hint="default" w:ascii="Times New Roman" w:hAnsi="Times New Roman" w:eastAsia="仿宋" w:cs="Times New Roman"/>
          <w:sz w:val="24"/>
          <w:szCs w:val="24"/>
          <w:lang w:eastAsia="zh-Hans"/>
        </w:rPr>
        <w:t>识别</w:t>
      </w:r>
      <w:r>
        <w:rPr>
          <w:rFonts w:hint="default" w:ascii="Times New Roman" w:hAnsi="Times New Roman" w:eastAsia="仿宋" w:cs="Times New Roman"/>
          <w:sz w:val="24"/>
          <w:szCs w:val="24"/>
        </w:rPr>
        <w:t>和处理</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供应链可能存在的</w:t>
      </w:r>
      <w:r>
        <w:rPr>
          <w:rFonts w:hint="default" w:ascii="Times New Roman" w:hAnsi="Times New Roman" w:eastAsia="仿宋" w:cs="Times New Roman"/>
          <w:sz w:val="24"/>
          <w:szCs w:val="24"/>
          <w:lang w:eastAsia="zh-Hans"/>
        </w:rPr>
        <w:t>助长冲突或人权侵害等</w:t>
      </w:r>
      <w:r>
        <w:rPr>
          <w:rFonts w:hint="default" w:ascii="Times New Roman" w:hAnsi="Times New Roman" w:eastAsia="仿宋" w:cs="Times New Roman"/>
          <w:sz w:val="24"/>
          <w:szCs w:val="24"/>
        </w:rPr>
        <w:t>风险，保障</w:t>
      </w:r>
      <w:r>
        <w:rPr>
          <w:rFonts w:hint="default" w:ascii="Times New Roman" w:hAnsi="Times New Roman" w:eastAsia="仿宋" w:cs="Times New Roman"/>
          <w:sz w:val="24"/>
          <w:szCs w:val="24"/>
          <w:lang w:eastAsia="zh-Hans"/>
        </w:rPr>
        <w:t>内外部</w:t>
      </w:r>
      <w:r>
        <w:rPr>
          <w:rFonts w:hint="default" w:ascii="Times New Roman" w:hAnsi="Times New Roman" w:eastAsia="仿宋" w:cs="Times New Roman"/>
          <w:sz w:val="24"/>
          <w:szCs w:val="24"/>
        </w:rPr>
        <w:t>利益相关方与本公司的顺畅沟通，</w:t>
      </w:r>
      <w:r>
        <w:rPr>
          <w:rFonts w:hint="eastAsia" w:ascii="Times New Roman" w:hAnsi="Times New Roman" w:eastAsia="仿宋" w:cs="Times New Roman"/>
          <w:sz w:val="24"/>
          <w:szCs w:val="24"/>
          <w:lang w:eastAsia="zh-CN"/>
        </w:rPr>
        <w:t>南丹县南方有色金属有限责任公司</w:t>
      </w:r>
      <w:r>
        <w:rPr>
          <w:rFonts w:hint="default" w:ascii="Times New Roman" w:hAnsi="Times New Roman" w:eastAsia="仿宋" w:cs="Times New Roman"/>
          <w:sz w:val="24"/>
          <w:szCs w:val="24"/>
        </w:rPr>
        <w:t>（以下简称“</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根据公司《供应链尽责管理政策》制定本申诉机制。此外，公司参与中国五矿化工进出口商会的《采矿业和矿产价值链调解磋商机制》，以期有效地解决争议问题，加强各方的沟通、协调与合作，传递各方的诉求和期望，构建负责任、有韧性和可持续的矿产供应链。</w:t>
      </w:r>
    </w:p>
    <w:p w14:paraId="5203A0D7">
      <w:pPr>
        <w:spacing w:line="360" w:lineRule="auto"/>
        <w:ind w:firstLine="480" w:firstLineChars="200"/>
        <w:rPr>
          <w:rFonts w:hint="default" w:ascii="Times New Roman" w:hAnsi="Times New Roman" w:eastAsia="仿宋" w:cs="Times New Roman"/>
          <w:sz w:val="24"/>
          <w:szCs w:val="24"/>
        </w:rPr>
      </w:pPr>
    </w:p>
    <w:p w14:paraId="37FD8C7D">
      <w:pPr>
        <w:pStyle w:val="9"/>
        <w:numPr>
          <w:ilvl w:val="0"/>
          <w:numId w:val="10"/>
        </w:numPr>
        <w:spacing w:line="360" w:lineRule="auto"/>
        <w:ind w:left="0" w:firstLine="0" w:firstLineChars="0"/>
        <w:outlineLvl w:val="0"/>
        <w:rPr>
          <w:rFonts w:hint="default" w:ascii="Times New Roman" w:hAnsi="Times New Roman" w:eastAsia="仿宋" w:cs="Times New Roman"/>
          <w:b/>
          <w:sz w:val="24"/>
          <w:szCs w:val="24"/>
        </w:rPr>
      </w:pPr>
      <w:bookmarkStart w:id="14" w:name="_Toc358554729"/>
      <w:bookmarkStart w:id="15" w:name="_Toc174"/>
      <w:r>
        <w:rPr>
          <w:rFonts w:hint="default" w:ascii="Times New Roman" w:hAnsi="Times New Roman" w:eastAsia="仿宋" w:cs="Times New Roman"/>
          <w:b/>
          <w:sz w:val="24"/>
          <w:szCs w:val="24"/>
        </w:rPr>
        <w:t>可以对哪些问题提起申诉？</w:t>
      </w:r>
      <w:bookmarkEnd w:id="14"/>
      <w:bookmarkEnd w:id="15"/>
    </w:p>
    <w:p w14:paraId="1092C34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符合以下条件的申诉将会被受理：</w:t>
      </w:r>
    </w:p>
    <w:p w14:paraId="021433DB">
      <w:pPr>
        <w:pStyle w:val="9"/>
        <w:numPr>
          <w:ilvl w:val="0"/>
          <w:numId w:val="11"/>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与</w:t>
      </w:r>
      <w:r>
        <w:rPr>
          <w:rFonts w:hint="default" w:ascii="Times New Roman" w:hAnsi="Times New Roman" w:eastAsia="仿宋" w:cs="Times New Roman"/>
          <w:sz w:val="24"/>
          <w:szCs w:val="24"/>
          <w:lang w:eastAsia="zh-Hans"/>
        </w:rPr>
        <w:t>公司矿产</w:t>
      </w:r>
      <w:r>
        <w:rPr>
          <w:rFonts w:hint="default" w:ascii="Times New Roman" w:hAnsi="Times New Roman" w:eastAsia="仿宋" w:cs="Times New Roman"/>
          <w:sz w:val="24"/>
          <w:szCs w:val="24"/>
        </w:rPr>
        <w:t>供应链尽责管理相关。</w:t>
      </w:r>
    </w:p>
    <w:p w14:paraId="4EB038FD">
      <w:pPr>
        <w:pStyle w:val="9"/>
        <w:numPr>
          <w:ilvl w:val="0"/>
          <w:numId w:val="11"/>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商业活动或者业务关系对利益相关方已经造成或可能造成</w:t>
      </w:r>
      <w:r>
        <w:rPr>
          <w:rFonts w:hint="default" w:ascii="Times New Roman" w:hAnsi="Times New Roman" w:eastAsia="仿宋" w:cs="Times New Roman"/>
          <w:sz w:val="24"/>
          <w:szCs w:val="24"/>
          <w:lang w:eastAsia="zh-Hans"/>
        </w:rPr>
        <w:t>了</w:t>
      </w:r>
      <w:r>
        <w:rPr>
          <w:rFonts w:hint="default" w:ascii="Times New Roman" w:hAnsi="Times New Roman" w:eastAsia="仿宋" w:cs="Times New Roman"/>
          <w:sz w:val="24"/>
          <w:szCs w:val="24"/>
        </w:rPr>
        <w:t>负面影响。</w:t>
      </w:r>
    </w:p>
    <w:p w14:paraId="26BD7FD6">
      <w:pPr>
        <w:pStyle w:val="9"/>
        <w:numPr>
          <w:ilvl w:val="0"/>
          <w:numId w:val="11"/>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商业活动或者业务关系违反了</w:t>
      </w:r>
      <w:bookmarkStart w:id="16" w:name="_Hlk130227802"/>
      <w:r>
        <w:rPr>
          <w:rFonts w:hint="default" w:ascii="Times New Roman" w:hAnsi="Times New Roman" w:eastAsia="仿宋" w:cs="Times New Roman"/>
          <w:sz w:val="24"/>
          <w:szCs w:val="24"/>
        </w:rPr>
        <w:t>《经济合作与发展组织关于来自受冲突影响和高风险区域的矿石的负责任供应链尽职调查指南》、《中国矿产供应链尽责管理指南》或公司《供应链尽责管理政策》</w:t>
      </w:r>
      <w:bookmarkEnd w:id="16"/>
      <w:r>
        <w:rPr>
          <w:rFonts w:hint="default" w:ascii="Times New Roman" w:hAnsi="Times New Roman" w:eastAsia="仿宋" w:cs="Times New Roman"/>
          <w:sz w:val="24"/>
          <w:szCs w:val="24"/>
        </w:rPr>
        <w:t>中的要求。</w:t>
      </w:r>
    </w:p>
    <w:p w14:paraId="217EC668">
      <w:pPr>
        <w:spacing w:line="360" w:lineRule="auto"/>
        <w:ind w:firstLine="480" w:firstLineChars="200"/>
        <w:rPr>
          <w:rFonts w:hint="default" w:ascii="Times New Roman" w:hAnsi="Times New Roman" w:eastAsia="仿宋" w:cs="Times New Roman"/>
          <w:sz w:val="24"/>
          <w:szCs w:val="24"/>
        </w:rPr>
      </w:pPr>
    </w:p>
    <w:p w14:paraId="206AF14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eastAsia="zh-Hans"/>
        </w:rPr>
        <w:t>属于</w:t>
      </w:r>
      <w:r>
        <w:rPr>
          <w:rFonts w:hint="default" w:ascii="Times New Roman" w:hAnsi="Times New Roman" w:eastAsia="仿宋" w:cs="Times New Roman"/>
          <w:sz w:val="24"/>
          <w:szCs w:val="24"/>
        </w:rPr>
        <w:t>以下任意一项的申诉不会被受理：</w:t>
      </w:r>
    </w:p>
    <w:p w14:paraId="1297BCB0">
      <w:pPr>
        <w:pStyle w:val="9"/>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与</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尽责管理无关。</w:t>
      </w:r>
    </w:p>
    <w:p w14:paraId="0DCA1326">
      <w:pPr>
        <w:pStyle w:val="9"/>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无法提供充分证据或证人以支持指出的问题。</w:t>
      </w:r>
    </w:p>
    <w:p w14:paraId="48C5D3E8">
      <w:pPr>
        <w:pStyle w:val="9"/>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恶意申诉或为获得竞争优势而发起的申诉。</w:t>
      </w:r>
    </w:p>
    <w:p w14:paraId="21232870">
      <w:pPr>
        <w:pStyle w:val="9"/>
        <w:numPr>
          <w:ilvl w:val="0"/>
          <w:numId w:val="12"/>
        </w:numPr>
        <w:spacing w:line="360" w:lineRule="auto"/>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如果申诉的问题不属于</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内部机制所能够解决的范畴，我们将积极协调外部机构解决。</w:t>
      </w:r>
    </w:p>
    <w:p w14:paraId="328F7B7B">
      <w:pPr>
        <w:spacing w:line="360" w:lineRule="auto"/>
        <w:ind w:firstLine="480" w:firstLineChars="200"/>
        <w:rPr>
          <w:rFonts w:hint="default" w:ascii="Times New Roman" w:hAnsi="Times New Roman" w:eastAsia="仿宋" w:cs="Times New Roman"/>
          <w:sz w:val="24"/>
          <w:szCs w:val="24"/>
        </w:rPr>
      </w:pPr>
    </w:p>
    <w:p w14:paraId="468FD3F0">
      <w:pPr>
        <w:pStyle w:val="9"/>
        <w:numPr>
          <w:ilvl w:val="0"/>
          <w:numId w:val="10"/>
        </w:numPr>
        <w:spacing w:line="360" w:lineRule="auto"/>
        <w:ind w:left="0" w:firstLine="0" w:firstLineChars="0"/>
        <w:outlineLvl w:val="0"/>
        <w:rPr>
          <w:rFonts w:hint="default" w:ascii="Times New Roman" w:hAnsi="Times New Roman" w:eastAsia="仿宋" w:cs="Times New Roman"/>
          <w:b/>
          <w:sz w:val="24"/>
          <w:szCs w:val="24"/>
        </w:rPr>
      </w:pPr>
      <w:bookmarkStart w:id="17" w:name="_Toc28250"/>
      <w:bookmarkStart w:id="18" w:name="_Toc390216821"/>
      <w:r>
        <w:rPr>
          <w:rFonts w:hint="default" w:ascii="Times New Roman" w:hAnsi="Times New Roman" w:eastAsia="仿宋" w:cs="Times New Roman"/>
          <w:b/>
          <w:sz w:val="24"/>
          <w:szCs w:val="24"/>
        </w:rPr>
        <w:t>谁可以提起申诉？</w:t>
      </w:r>
      <w:bookmarkEnd w:id="17"/>
      <w:bookmarkEnd w:id="18"/>
    </w:p>
    <w:p w14:paraId="5552AA27">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任何个人或团体，包括但不限于</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rPr>
        <w:t>客户、供应商、受影响的社区居民、员工等，均可向</w:t>
      </w:r>
      <w:r>
        <w:rPr>
          <w:rFonts w:hint="default" w:ascii="Times New Roman" w:hAnsi="Times New Roman" w:eastAsia="仿宋" w:cs="Times New Roman"/>
          <w:sz w:val="24"/>
          <w:szCs w:val="24"/>
          <w:lang w:eastAsia="zh-Hans"/>
        </w:rPr>
        <w:t>公司</w:t>
      </w:r>
      <w:r>
        <w:rPr>
          <w:rFonts w:hint="eastAsia" w:ascii="Times New Roman" w:hAnsi="Times New Roman" w:eastAsia="仿宋" w:cs="Times New Roman"/>
          <w:sz w:val="24"/>
          <w:szCs w:val="24"/>
          <w:lang w:eastAsia="zh-CN"/>
        </w:rPr>
        <w:t>合规小组</w:t>
      </w:r>
      <w:r>
        <w:rPr>
          <w:rFonts w:hint="default" w:ascii="Times New Roman" w:hAnsi="Times New Roman" w:eastAsia="仿宋" w:cs="Times New Roman"/>
          <w:sz w:val="24"/>
          <w:szCs w:val="24"/>
        </w:rPr>
        <w:t>提起申诉。</w:t>
      </w:r>
    </w:p>
    <w:p w14:paraId="3248BCA4">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如果申诉由代表受影响方的第三方团体或个人提出，该机构或个人应明确说明其所代表的对象，并提供具备代表权的明确证据。</w:t>
      </w:r>
    </w:p>
    <w:p w14:paraId="0CB2BAA6">
      <w:pPr>
        <w:spacing w:line="360" w:lineRule="auto"/>
        <w:ind w:firstLine="480" w:firstLineChars="200"/>
        <w:rPr>
          <w:rFonts w:hint="default" w:ascii="Times New Roman" w:hAnsi="Times New Roman" w:eastAsia="仿宋" w:cs="Times New Roman"/>
          <w:sz w:val="24"/>
          <w:szCs w:val="24"/>
        </w:rPr>
      </w:pPr>
    </w:p>
    <w:p w14:paraId="79518ADB">
      <w:pPr>
        <w:pStyle w:val="9"/>
        <w:numPr>
          <w:ilvl w:val="0"/>
          <w:numId w:val="10"/>
        </w:numPr>
        <w:spacing w:line="360" w:lineRule="auto"/>
        <w:ind w:left="0" w:firstLine="0" w:firstLineChars="0"/>
        <w:outlineLvl w:val="0"/>
        <w:rPr>
          <w:rFonts w:hint="default" w:ascii="Times New Roman" w:hAnsi="Times New Roman" w:eastAsia="仿宋" w:cs="Times New Roman"/>
          <w:b/>
          <w:sz w:val="24"/>
          <w:szCs w:val="24"/>
        </w:rPr>
      </w:pPr>
      <w:bookmarkStart w:id="19" w:name="_Toc2106536256"/>
      <w:bookmarkStart w:id="20" w:name="_Toc4046"/>
      <w:r>
        <w:rPr>
          <w:rFonts w:hint="default" w:ascii="Times New Roman" w:hAnsi="Times New Roman" w:eastAsia="仿宋" w:cs="Times New Roman"/>
          <w:b/>
          <w:sz w:val="24"/>
          <w:szCs w:val="24"/>
        </w:rPr>
        <w:t>如何提起申诉？</w:t>
      </w:r>
      <w:bookmarkEnd w:id="19"/>
      <w:bookmarkEnd w:id="20"/>
    </w:p>
    <w:p w14:paraId="4A5D937D">
      <w:pPr>
        <w:spacing w:after="240"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申诉者应填写附件一所示《供应链尽责</w:t>
      </w:r>
      <w:r>
        <w:rPr>
          <w:rFonts w:hint="default" w:ascii="Times New Roman" w:hAnsi="Times New Roman" w:eastAsia="仿宋" w:cs="Times New Roman"/>
          <w:sz w:val="24"/>
          <w:szCs w:val="24"/>
          <w:lang w:eastAsia="zh-Hans"/>
        </w:rPr>
        <w:t>管理</w:t>
      </w:r>
      <w:r>
        <w:rPr>
          <w:rFonts w:hint="default" w:ascii="Times New Roman" w:hAnsi="Times New Roman" w:eastAsia="仿宋" w:cs="Times New Roman"/>
          <w:sz w:val="24"/>
          <w:szCs w:val="24"/>
        </w:rPr>
        <w:t>申诉书》，语种不限。申诉书应通过电子邮件或邮寄至</w:t>
      </w:r>
      <w:r>
        <w:rPr>
          <w:rFonts w:hint="default" w:ascii="Times New Roman" w:hAnsi="Times New Roman" w:eastAsia="仿宋" w:cs="Times New Roman"/>
          <w:sz w:val="24"/>
          <w:szCs w:val="24"/>
          <w:lang w:eastAsia="zh-Hans"/>
        </w:rPr>
        <w:t>公司</w:t>
      </w:r>
      <w:r>
        <w:rPr>
          <w:rFonts w:hint="eastAsia" w:ascii="Times New Roman" w:hAnsi="Times New Roman" w:eastAsia="仿宋" w:cs="Times New Roman"/>
          <w:sz w:val="24"/>
          <w:szCs w:val="24"/>
          <w:lang w:eastAsia="zh-CN"/>
        </w:rPr>
        <w:t>合规小组</w:t>
      </w:r>
      <w:r>
        <w:rPr>
          <w:rFonts w:hint="default" w:ascii="Times New Roman" w:hAnsi="Times New Roman" w:eastAsia="仿宋" w:cs="Times New Roman"/>
          <w:sz w:val="24"/>
          <w:szCs w:val="24"/>
        </w:rPr>
        <w:t>。</w:t>
      </w:r>
    </w:p>
    <w:p w14:paraId="1572494A">
      <w:pPr>
        <w:spacing w:line="360" w:lineRule="auto"/>
        <w:ind w:firstLine="480" w:firstLineChars="200"/>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邮</w:t>
      </w:r>
      <w:r>
        <w:rPr>
          <w:rFonts w:hint="default" w:ascii="Times New Roman" w:hAnsi="Times New Roman" w:eastAsia="仿宋" w:cs="Times New Roman"/>
          <w:sz w:val="24"/>
          <w:szCs w:val="24"/>
          <w:highlight w:val="none"/>
          <w:lang w:eastAsia="zh-Hans"/>
        </w:rPr>
        <w:t xml:space="preserve">箱：qiang.pen@nanfangmetal.com  </w:t>
      </w:r>
    </w:p>
    <w:p w14:paraId="1B4DED25">
      <w:pPr>
        <w:spacing w:line="360" w:lineRule="auto"/>
        <w:ind w:firstLine="480" w:firstLineChars="200"/>
        <w:rPr>
          <w:rFonts w:hint="default" w:ascii="Times New Roman" w:hAnsi="Times New Roman" w:eastAsia="仿宋" w:cs="Times New Roman"/>
          <w:sz w:val="24"/>
          <w:szCs w:val="24"/>
        </w:rPr>
      </w:pPr>
    </w:p>
    <w:p w14:paraId="0F2AC5BD">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申诉者亦可通过中国五矿化工进出口商会的《采矿业和矿产价值链调解磋商机制》</w:t>
      </w:r>
      <w:r>
        <w:rPr>
          <w:rStyle w:val="6"/>
          <w:rFonts w:hint="default" w:ascii="Times New Roman" w:hAnsi="Times New Roman" w:eastAsia="仿宋" w:cs="Times New Roman"/>
          <w:sz w:val="24"/>
          <w:szCs w:val="24"/>
        </w:rPr>
        <w:footnoteReference w:id="18"/>
      </w:r>
      <w:r>
        <w:rPr>
          <w:rFonts w:hint="default" w:ascii="Times New Roman" w:hAnsi="Times New Roman" w:eastAsia="仿宋" w:cs="Times New Roman"/>
          <w:sz w:val="24"/>
          <w:szCs w:val="24"/>
        </w:rPr>
        <w:t>进行申诉。</w:t>
      </w:r>
    </w:p>
    <w:p w14:paraId="30333F97">
      <w:pPr>
        <w:spacing w:line="360" w:lineRule="auto"/>
        <w:ind w:right="840" w:firstLine="420"/>
        <w:rPr>
          <w:rFonts w:hint="default" w:ascii="Times New Roman" w:hAnsi="Times New Roman" w:eastAsia="仿宋" w:cs="Times New Roman"/>
          <w:sz w:val="24"/>
          <w:szCs w:val="24"/>
        </w:rPr>
      </w:pPr>
    </w:p>
    <w:p w14:paraId="48D2DAFC">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附件--《供应链尽责管理申诉书》</w:t>
      </w:r>
    </w:p>
    <w:p w14:paraId="097C67CA">
      <w:pPr>
        <w:spacing w:line="360" w:lineRule="auto"/>
        <w:ind w:right="840" w:firstLine="602"/>
        <w:jc w:val="right"/>
        <w:rPr>
          <w:rFonts w:hint="default" w:ascii="Times New Roman" w:hAnsi="Times New Roman" w:eastAsia="仿宋" w:cs="Times New Roman"/>
          <w:b/>
          <w:bCs/>
          <w:sz w:val="24"/>
          <w:szCs w:val="24"/>
        </w:rPr>
      </w:pPr>
    </w:p>
    <w:p w14:paraId="78CC5E43">
      <w:pPr>
        <w:spacing w:line="360" w:lineRule="auto"/>
        <w:ind w:right="840" w:firstLine="602"/>
        <w:jc w:val="both"/>
        <w:rPr>
          <w:rFonts w:hint="default" w:ascii="Times New Roman" w:hAnsi="Times New Roman" w:eastAsia="仿宋" w:cs="Times New Roman"/>
          <w:b/>
          <w:sz w:val="24"/>
          <w:szCs w:val="24"/>
        </w:rPr>
      </w:pPr>
      <w:r>
        <w:rPr>
          <w:rFonts w:hint="default" w:ascii="Times New Roman" w:hAnsi="Times New Roman" w:eastAsia="仿宋" w:cs="Times New Roman"/>
          <w:sz w:val="24"/>
          <w:szCs w:val="24"/>
        </w:rPr>
        <w:br w:type="page"/>
      </w:r>
      <w:r>
        <w:rPr>
          <w:rFonts w:hint="default" w:ascii="Times New Roman" w:hAnsi="Times New Roman" w:eastAsia="仿宋" w:cs="Times New Roman"/>
          <w:b/>
          <w:sz w:val="24"/>
          <w:szCs w:val="24"/>
        </w:rPr>
        <w:t>附件：</w:t>
      </w:r>
    </w:p>
    <w:p w14:paraId="4E27D534">
      <w:pPr>
        <w:pStyle w:val="9"/>
        <w:spacing w:after="163" w:afterLines="50" w:line="360" w:lineRule="auto"/>
        <w:ind w:firstLine="0" w:firstLineChars="0"/>
        <w:jc w:val="center"/>
        <w:outlineLvl w:val="0"/>
        <w:rPr>
          <w:rFonts w:hint="default" w:ascii="Times New Roman" w:hAnsi="Times New Roman" w:eastAsia="仿宋" w:cs="Times New Roman"/>
          <w:b/>
          <w:sz w:val="24"/>
          <w:szCs w:val="24"/>
        </w:rPr>
      </w:pPr>
      <w:bookmarkStart w:id="21" w:name="_Toc1139450150"/>
      <w:bookmarkStart w:id="22" w:name="_Toc8761"/>
      <w:r>
        <w:rPr>
          <w:rFonts w:hint="default" w:ascii="Times New Roman" w:hAnsi="Times New Roman" w:eastAsia="仿宋" w:cs="Times New Roman"/>
          <w:b/>
          <w:sz w:val="24"/>
          <w:szCs w:val="24"/>
        </w:rPr>
        <w:t>供应链尽责</w:t>
      </w:r>
      <w:r>
        <w:rPr>
          <w:rFonts w:hint="default" w:ascii="Times New Roman" w:hAnsi="Times New Roman" w:eastAsia="仿宋" w:cs="Times New Roman"/>
          <w:b/>
          <w:sz w:val="24"/>
          <w:szCs w:val="24"/>
          <w:lang w:eastAsia="zh-Hans"/>
        </w:rPr>
        <w:t>管理</w:t>
      </w:r>
      <w:r>
        <w:rPr>
          <w:rFonts w:hint="default" w:ascii="Times New Roman" w:hAnsi="Times New Roman" w:eastAsia="仿宋" w:cs="Times New Roman"/>
          <w:b/>
          <w:sz w:val="24"/>
          <w:szCs w:val="24"/>
        </w:rPr>
        <w:t>申诉书</w:t>
      </w:r>
      <w:bookmarkEnd w:id="21"/>
      <w:bookmarkEnd w:id="22"/>
    </w:p>
    <w:tbl>
      <w:tblPr>
        <w:tblStyle w:val="4"/>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041"/>
        <w:gridCol w:w="2041"/>
        <w:gridCol w:w="2017"/>
      </w:tblGrid>
      <w:tr w14:paraId="5C4F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0" w:type="dxa"/>
            <w:noWrap w:val="0"/>
            <w:vAlign w:val="center"/>
          </w:tcPr>
          <w:p w14:paraId="08546D2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申诉者名称（可匿名）</w:t>
            </w:r>
          </w:p>
        </w:tc>
        <w:tc>
          <w:tcPr>
            <w:tcW w:w="2041" w:type="dxa"/>
            <w:noWrap w:val="0"/>
            <w:vAlign w:val="center"/>
          </w:tcPr>
          <w:p w14:paraId="08AB50EC">
            <w:pPr>
              <w:spacing w:line="360" w:lineRule="auto"/>
              <w:rPr>
                <w:rFonts w:hint="default" w:ascii="Times New Roman" w:hAnsi="Times New Roman" w:eastAsia="仿宋" w:cs="Times New Roman"/>
                <w:sz w:val="24"/>
                <w:szCs w:val="24"/>
              </w:rPr>
            </w:pPr>
          </w:p>
        </w:tc>
        <w:tc>
          <w:tcPr>
            <w:tcW w:w="2041" w:type="dxa"/>
            <w:noWrap w:val="0"/>
            <w:vAlign w:val="center"/>
          </w:tcPr>
          <w:p w14:paraId="1F2EF79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是否要求保密</w:t>
            </w:r>
          </w:p>
        </w:tc>
        <w:tc>
          <w:tcPr>
            <w:tcW w:w="2017" w:type="dxa"/>
            <w:noWrap w:val="0"/>
            <w:vAlign w:val="center"/>
          </w:tcPr>
          <w:p w14:paraId="40483B74">
            <w:pPr>
              <w:spacing w:line="360" w:lineRule="auto"/>
              <w:rPr>
                <w:rFonts w:hint="default" w:ascii="Times New Roman" w:hAnsi="Times New Roman" w:eastAsia="仿宋" w:cs="Times New Roman"/>
                <w:sz w:val="24"/>
                <w:szCs w:val="24"/>
              </w:rPr>
            </w:pPr>
          </w:p>
        </w:tc>
      </w:tr>
      <w:tr w14:paraId="01E8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0" w:type="dxa"/>
            <w:noWrap w:val="0"/>
            <w:vAlign w:val="center"/>
          </w:tcPr>
          <w:p w14:paraId="5BCA2F9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联系电话</w:t>
            </w:r>
          </w:p>
        </w:tc>
        <w:tc>
          <w:tcPr>
            <w:tcW w:w="2041" w:type="dxa"/>
            <w:noWrap w:val="0"/>
            <w:vAlign w:val="center"/>
          </w:tcPr>
          <w:p w14:paraId="56E26704">
            <w:pPr>
              <w:spacing w:line="360" w:lineRule="auto"/>
              <w:rPr>
                <w:rFonts w:hint="default" w:ascii="Times New Roman" w:hAnsi="Times New Roman" w:eastAsia="仿宋" w:cs="Times New Roman"/>
                <w:sz w:val="24"/>
                <w:szCs w:val="24"/>
              </w:rPr>
            </w:pPr>
          </w:p>
        </w:tc>
        <w:tc>
          <w:tcPr>
            <w:tcW w:w="2041" w:type="dxa"/>
            <w:noWrap w:val="0"/>
            <w:vAlign w:val="center"/>
          </w:tcPr>
          <w:p w14:paraId="07A9875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电子邮箱</w:t>
            </w:r>
          </w:p>
        </w:tc>
        <w:tc>
          <w:tcPr>
            <w:tcW w:w="2017" w:type="dxa"/>
            <w:noWrap w:val="0"/>
            <w:vAlign w:val="center"/>
          </w:tcPr>
          <w:p w14:paraId="08A6449E">
            <w:pPr>
              <w:spacing w:line="360" w:lineRule="auto"/>
              <w:rPr>
                <w:rFonts w:hint="default" w:ascii="Times New Roman" w:hAnsi="Times New Roman" w:eastAsia="仿宋" w:cs="Times New Roman"/>
                <w:sz w:val="24"/>
                <w:szCs w:val="24"/>
              </w:rPr>
            </w:pPr>
          </w:p>
        </w:tc>
      </w:tr>
      <w:tr w14:paraId="0D11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0" w:type="dxa"/>
            <w:noWrap w:val="0"/>
            <w:vAlign w:val="center"/>
          </w:tcPr>
          <w:p w14:paraId="43EFFB70">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是否为受委托的第三方</w:t>
            </w:r>
          </w:p>
        </w:tc>
        <w:tc>
          <w:tcPr>
            <w:tcW w:w="2041" w:type="dxa"/>
            <w:noWrap w:val="0"/>
            <w:vAlign w:val="center"/>
          </w:tcPr>
          <w:p w14:paraId="5DEFD45D">
            <w:pPr>
              <w:spacing w:line="360" w:lineRule="auto"/>
              <w:rPr>
                <w:rFonts w:hint="default" w:ascii="Times New Roman" w:hAnsi="Times New Roman" w:eastAsia="仿宋" w:cs="Times New Roman"/>
                <w:sz w:val="24"/>
                <w:szCs w:val="24"/>
              </w:rPr>
            </w:pPr>
          </w:p>
        </w:tc>
        <w:tc>
          <w:tcPr>
            <w:tcW w:w="2041" w:type="dxa"/>
            <w:noWrap w:val="0"/>
            <w:vAlign w:val="center"/>
          </w:tcPr>
          <w:p w14:paraId="429A734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如是，受何人或何团体委托（同时附受委托证明）</w:t>
            </w:r>
          </w:p>
        </w:tc>
        <w:tc>
          <w:tcPr>
            <w:tcW w:w="2017" w:type="dxa"/>
            <w:noWrap w:val="0"/>
            <w:vAlign w:val="center"/>
          </w:tcPr>
          <w:p w14:paraId="0B3618B5">
            <w:pPr>
              <w:spacing w:line="360" w:lineRule="auto"/>
              <w:rPr>
                <w:rFonts w:hint="default" w:ascii="Times New Roman" w:hAnsi="Times New Roman" w:eastAsia="仿宋" w:cs="Times New Roman"/>
                <w:sz w:val="24"/>
                <w:szCs w:val="24"/>
              </w:rPr>
            </w:pPr>
          </w:p>
        </w:tc>
      </w:tr>
      <w:tr w14:paraId="46F2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30" w:type="dxa"/>
            <w:noWrap w:val="0"/>
            <w:vAlign w:val="center"/>
          </w:tcPr>
          <w:p w14:paraId="463B8E6C">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冲突回避</w:t>
            </w:r>
          </w:p>
        </w:tc>
        <w:tc>
          <w:tcPr>
            <w:tcW w:w="6099" w:type="dxa"/>
            <w:gridSpan w:val="3"/>
            <w:noWrap w:val="0"/>
            <w:vAlign w:val="center"/>
          </w:tcPr>
          <w:p w14:paraId="5A557A20">
            <w:pPr>
              <w:adjustRightInd w:val="0"/>
              <w:snapToGrid w:val="0"/>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（如需要回避</w:t>
            </w:r>
            <w:r>
              <w:rPr>
                <w:rFonts w:hint="default" w:ascii="Times New Roman" w:hAnsi="Times New Roman" w:eastAsia="仿宋" w:cs="Times New Roman"/>
                <w:sz w:val="24"/>
                <w:szCs w:val="24"/>
                <w:lang w:eastAsia="zh-Hans"/>
              </w:rPr>
              <w:t>公司</w:t>
            </w:r>
            <w:r>
              <w:rPr>
                <w:rFonts w:hint="default" w:ascii="Times New Roman" w:hAnsi="Times New Roman" w:eastAsia="仿宋" w:cs="Times New Roman"/>
                <w:sz w:val="24"/>
                <w:szCs w:val="24"/>
                <w:lang w:val="en-US" w:eastAsia="zh-CN"/>
              </w:rPr>
              <w:t>合规小组</w:t>
            </w:r>
            <w:r>
              <w:rPr>
                <w:rFonts w:hint="default" w:ascii="Times New Roman" w:hAnsi="Times New Roman" w:eastAsia="仿宋" w:cs="Times New Roman"/>
                <w:sz w:val="24"/>
                <w:szCs w:val="24"/>
              </w:rPr>
              <w:t>特定人员，请列出其姓名）</w:t>
            </w:r>
          </w:p>
          <w:p w14:paraId="348B2EF9">
            <w:pPr>
              <w:spacing w:line="360" w:lineRule="auto"/>
              <w:rPr>
                <w:rFonts w:hint="default" w:ascii="Times New Roman" w:hAnsi="Times New Roman" w:eastAsia="仿宋" w:cs="Times New Roman"/>
                <w:sz w:val="24"/>
                <w:szCs w:val="24"/>
              </w:rPr>
            </w:pPr>
          </w:p>
          <w:p w14:paraId="6B3B9DCE">
            <w:pPr>
              <w:spacing w:line="360" w:lineRule="auto"/>
              <w:rPr>
                <w:rFonts w:hint="default" w:ascii="Times New Roman" w:hAnsi="Times New Roman" w:eastAsia="仿宋" w:cs="Times New Roman"/>
                <w:sz w:val="24"/>
                <w:szCs w:val="24"/>
              </w:rPr>
            </w:pPr>
          </w:p>
        </w:tc>
      </w:tr>
      <w:tr w14:paraId="6D31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929" w:type="dxa"/>
            <w:gridSpan w:val="4"/>
            <w:noWrap w:val="0"/>
            <w:vAlign w:val="center"/>
          </w:tcPr>
          <w:p w14:paraId="2135B9AA">
            <w:pPr>
              <w:spacing w:before="240"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所遭受（或可能遭受）负面影响的事实和证据，以及其他任何能够支持申诉的信息（可附页，并附申诉证据）：</w:t>
            </w:r>
          </w:p>
          <w:p w14:paraId="7978B74F">
            <w:pPr>
              <w:spacing w:line="360" w:lineRule="auto"/>
              <w:rPr>
                <w:rFonts w:hint="default" w:ascii="Times New Roman" w:hAnsi="Times New Roman" w:eastAsia="仿宋" w:cs="Times New Roman"/>
                <w:sz w:val="24"/>
                <w:szCs w:val="24"/>
              </w:rPr>
            </w:pPr>
          </w:p>
          <w:p w14:paraId="72855B43">
            <w:pPr>
              <w:spacing w:line="360" w:lineRule="auto"/>
              <w:rPr>
                <w:rFonts w:hint="default" w:ascii="Times New Roman" w:hAnsi="Times New Roman" w:eastAsia="仿宋" w:cs="Times New Roman"/>
                <w:sz w:val="24"/>
                <w:szCs w:val="24"/>
              </w:rPr>
            </w:pPr>
          </w:p>
          <w:p w14:paraId="13335079">
            <w:pPr>
              <w:spacing w:line="360" w:lineRule="auto"/>
              <w:rPr>
                <w:rFonts w:hint="default" w:ascii="Times New Roman" w:hAnsi="Times New Roman" w:eastAsia="仿宋" w:cs="Times New Roman"/>
                <w:sz w:val="24"/>
                <w:szCs w:val="24"/>
              </w:rPr>
            </w:pPr>
          </w:p>
        </w:tc>
      </w:tr>
      <w:tr w14:paraId="3038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929" w:type="dxa"/>
            <w:gridSpan w:val="4"/>
            <w:noWrap w:val="0"/>
            <w:vAlign w:val="center"/>
          </w:tcPr>
          <w:p w14:paraId="59DBD3B0">
            <w:pPr>
              <w:spacing w:before="240"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您的诉求，以及实现诉求所希望采用的解决方案（明确且可操作的诉求能够帮助我们更快的帮您解决问题）</w:t>
            </w:r>
          </w:p>
          <w:p w14:paraId="7BCF2DE3">
            <w:pPr>
              <w:spacing w:before="240" w:line="360" w:lineRule="auto"/>
              <w:rPr>
                <w:rFonts w:hint="default" w:ascii="Times New Roman" w:hAnsi="Times New Roman" w:eastAsia="仿宋" w:cs="Times New Roman"/>
                <w:sz w:val="24"/>
                <w:szCs w:val="24"/>
              </w:rPr>
            </w:pPr>
          </w:p>
          <w:p w14:paraId="45734581">
            <w:pPr>
              <w:spacing w:before="240" w:line="360" w:lineRule="auto"/>
              <w:rPr>
                <w:rFonts w:hint="default" w:ascii="Times New Roman" w:hAnsi="Times New Roman" w:eastAsia="仿宋" w:cs="Times New Roman"/>
                <w:sz w:val="24"/>
                <w:szCs w:val="24"/>
              </w:rPr>
            </w:pPr>
          </w:p>
        </w:tc>
      </w:tr>
      <w:tr w14:paraId="07B6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929" w:type="dxa"/>
            <w:gridSpan w:val="4"/>
            <w:noWrap w:val="0"/>
            <w:vAlign w:val="center"/>
          </w:tcPr>
          <w:p w14:paraId="17BB6FD4">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申诉者代表签名：</w:t>
            </w:r>
          </w:p>
          <w:p w14:paraId="348C6F5B">
            <w:pPr>
              <w:spacing w:line="360" w:lineRule="auto"/>
              <w:rPr>
                <w:rFonts w:hint="default" w:ascii="Times New Roman" w:hAnsi="Times New Roman" w:eastAsia="仿宋" w:cs="Times New Roman"/>
                <w:sz w:val="24"/>
                <w:szCs w:val="24"/>
              </w:rPr>
            </w:pPr>
          </w:p>
          <w:p w14:paraId="68950790">
            <w:pPr>
              <w:spacing w:line="360" w:lineRule="auto"/>
              <w:ind w:right="960" w:firstLine="4704" w:firstLineChars="196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申诉日期：</w:t>
            </w:r>
          </w:p>
        </w:tc>
      </w:tr>
    </w:tbl>
    <w:p w14:paraId="0FA8A92E">
      <w:pPr>
        <w:widowControl/>
        <w:ind w:firstLine="420"/>
        <w:jc w:val="left"/>
        <w:rPr>
          <w:rFonts w:hint="default" w:ascii="Times New Roman" w:hAnsi="Times New Roman" w:eastAsia="仿宋" w:cs="Times New Roman"/>
          <w:sz w:val="24"/>
          <w:szCs w:val="24"/>
        </w:rPr>
      </w:pPr>
    </w:p>
    <w:p w14:paraId="0A553632">
      <w:pPr>
        <w:spacing w:before="163"/>
        <w:jc w:val="both"/>
        <w:rPr>
          <w:rFonts w:hint="default" w:ascii="Times New Roman" w:hAnsi="Times New Roman" w:eastAsia="宋体" w:cs="Times New Roman"/>
          <w:b/>
          <w:bCs/>
          <w:sz w:val="24"/>
          <w:szCs w:val="24"/>
        </w:rPr>
      </w:pPr>
    </w:p>
    <w:p w14:paraId="0F822099">
      <w:pPr>
        <w:spacing w:before="163"/>
        <w:ind w:firstLine="482" w:firstLineChars="20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Supply Chain Due Diligence Grievance Mechanism</w:t>
      </w:r>
    </w:p>
    <w:p w14:paraId="0676247A">
      <w:pPr>
        <w:spacing w:before="163"/>
        <w:ind w:firstLine="480" w:firstLineChars="200"/>
        <w:jc w:val="center"/>
        <w:rPr>
          <w:rFonts w:hint="default" w:ascii="Times New Roman" w:hAnsi="Times New Roman" w:eastAsia="宋体" w:cs="Times New Roman"/>
          <w:sz w:val="24"/>
          <w:szCs w:val="24"/>
        </w:rPr>
      </w:pPr>
    </w:p>
    <w:p w14:paraId="22F974DF">
      <w:pPr>
        <w:spacing w:before="163"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rPr>
        <w:t>Our company have</w:t>
      </w:r>
      <w:r>
        <w:rPr>
          <w:rFonts w:hint="default" w:ascii="Times New Roman" w:hAnsi="Times New Roman" w:eastAsia="宋体" w:cs="Times New Roman"/>
          <w:sz w:val="24"/>
          <w:szCs w:val="24"/>
        </w:rPr>
        <w:t xml:space="preserve"> developed this grievance mechanism based on its </w:t>
      </w:r>
      <w:r>
        <w:rPr>
          <w:rFonts w:hint="default" w:ascii="Times New Roman" w:hAnsi="Times New Roman" w:eastAsia="宋体" w:cs="Times New Roman"/>
          <w:i/>
          <w:iCs/>
          <w:sz w:val="24"/>
          <w:szCs w:val="24"/>
        </w:rPr>
        <w:t xml:space="preserve"> Supply Chain Due Diligence Policy</w:t>
      </w:r>
      <w:r>
        <w:rPr>
          <w:rFonts w:hint="default" w:ascii="Times New Roman" w:hAnsi="Times New Roman" w:eastAsia="宋体" w:cs="Times New Roman"/>
          <w:sz w:val="24"/>
          <w:szCs w:val="24"/>
        </w:rPr>
        <w:t xml:space="preserve"> to promptly identify and address possible risks contributing to conflict or human rights abuses in their supply chain and to ensure smooth communication with internal and external stakeholders. Additionally, </w:t>
      </w:r>
      <w:r>
        <w:rPr>
          <w:rFonts w:hint="default" w:ascii="Times New Roman" w:hAnsi="Times New Roman" w:eastAsia="宋体" w:cs="Times New Roman"/>
          <w:sz w:val="24"/>
          <w:szCs w:val="24"/>
          <w:lang w:val="en-US" w:eastAsia="zh-CN"/>
        </w:rPr>
        <w:t>Nandan Nanfang</w:t>
      </w:r>
      <w:r>
        <w:rPr>
          <w:rFonts w:hint="default" w:ascii="Times New Roman" w:hAnsi="Times New Roman" w:eastAsia="宋体" w:cs="Times New Roman"/>
          <w:sz w:val="24"/>
          <w:szCs w:val="24"/>
        </w:rPr>
        <w:t xml:space="preserve"> participates in the </w:t>
      </w:r>
      <w:r>
        <w:rPr>
          <w:rFonts w:hint="default" w:ascii="Times New Roman" w:hAnsi="Times New Roman" w:eastAsia="宋体" w:cs="Times New Roman"/>
          <w:i/>
          <w:iCs/>
          <w:sz w:val="24"/>
          <w:szCs w:val="24"/>
        </w:rPr>
        <w:t>Mediation and Consultation Mechanism for the Mining Industry and Mineral Value Chain</w:t>
      </w:r>
      <w:r>
        <w:rPr>
          <w:rFonts w:hint="default" w:ascii="Times New Roman" w:hAnsi="Times New Roman" w:eastAsia="宋体" w:cs="Times New Roman"/>
          <w:sz w:val="24"/>
          <w:szCs w:val="24"/>
        </w:rPr>
        <w:t xml:space="preserve"> of the China Chamber of Commerce for Metals, Minerals &amp; Chemicals Importers &amp; Exporters (CCCMC) to effectively resolve disputes, strengthen communication, coordination, and cooperation among all parties, convey the demands and expectations of all parties, and build a responsible, resilient, and sustainable mineral supply chain.</w:t>
      </w:r>
    </w:p>
    <w:p w14:paraId="0AD7A09C">
      <w:pPr>
        <w:spacing w:before="163"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 What issues can be accepted?</w:t>
      </w:r>
    </w:p>
    <w:p w14:paraId="3091918D">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Grievance that meets the following criteria will be accepted:</w:t>
      </w:r>
    </w:p>
    <w:p w14:paraId="05FC8309">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related to </w:t>
      </w:r>
      <w:r>
        <w:rPr>
          <w:rFonts w:hint="default" w:ascii="Times New Roman" w:hAnsi="Times New Roman" w:eastAsia="宋体" w:cs="Times New Roman"/>
          <w:sz w:val="24"/>
          <w:szCs w:val="24"/>
          <w:lang w:val="en-US" w:eastAsia="zh-CN"/>
        </w:rPr>
        <w:t>Nandan Nanfang</w:t>
      </w:r>
      <w:r>
        <w:rPr>
          <w:rFonts w:hint="default" w:ascii="Times New Roman" w:hAnsi="Times New Roman" w:eastAsia="宋体" w:cs="Times New Roman"/>
          <w:sz w:val="24"/>
          <w:szCs w:val="24"/>
        </w:rPr>
        <w:t>’s  supply chain due diligence;</w:t>
      </w:r>
    </w:p>
    <w:p w14:paraId="7C8B01A4">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business activities or business relationships have caused or may cause negative impacts;</w:t>
      </w:r>
    </w:p>
    <w:p w14:paraId="6ADBCC77">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 business activities or business relationships violate the requirements of </w:t>
      </w:r>
      <w:r>
        <w:rPr>
          <w:rFonts w:hint="default" w:ascii="Times New Roman" w:hAnsi="Times New Roman" w:eastAsia="宋体" w:cs="Times New Roman"/>
          <w:i/>
          <w:iCs/>
          <w:sz w:val="24"/>
          <w:szCs w:val="24"/>
        </w:rPr>
        <w:t xml:space="preserve">The OECD Due Diligence Guidance for Responsible Supply Chains of Minerals from Conflict-Affected and High-Risk Areas, Chinese Due Diligence Guidelines for Minerals Supply Chain, </w:t>
      </w:r>
      <w:r>
        <w:rPr>
          <w:rFonts w:hint="default" w:ascii="Times New Roman" w:hAnsi="Times New Roman" w:eastAsia="宋体" w:cs="Times New Roman"/>
          <w:sz w:val="24"/>
          <w:szCs w:val="24"/>
        </w:rPr>
        <w:t>or its</w:t>
      </w:r>
      <w:r>
        <w:rPr>
          <w:rFonts w:hint="default" w:ascii="Times New Roman" w:hAnsi="Times New Roman" w:eastAsia="宋体" w:cs="Times New Roman"/>
          <w:i/>
          <w:iCs/>
          <w:sz w:val="24"/>
          <w:szCs w:val="24"/>
        </w:rPr>
        <w:t xml:space="preserve">  Supply Chain Due Diligence Policy</w:t>
      </w:r>
      <w:r>
        <w:rPr>
          <w:rFonts w:hint="default" w:ascii="Times New Roman" w:hAnsi="Times New Roman" w:eastAsia="宋体" w:cs="Times New Roman"/>
          <w:sz w:val="24"/>
          <w:szCs w:val="24"/>
        </w:rPr>
        <w:t>.</w:t>
      </w:r>
    </w:p>
    <w:p w14:paraId="7207A35E">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Grievance will NOT be accepted under any of the following:</w:t>
      </w:r>
    </w:p>
    <w:p w14:paraId="2CCC9C7D">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not related to the </w:t>
      </w:r>
      <w:r>
        <w:rPr>
          <w:rFonts w:hint="default" w:ascii="Times New Roman" w:hAnsi="Times New Roman" w:eastAsia="宋体" w:cs="Times New Roman"/>
          <w:sz w:val="24"/>
          <w:szCs w:val="24"/>
          <w:lang w:eastAsia="zh-CN"/>
        </w:rPr>
        <w:t>Nanko Copper</w:t>
      </w:r>
      <w:r>
        <w:rPr>
          <w:rFonts w:hint="default" w:ascii="Times New Roman" w:hAnsi="Times New Roman" w:eastAsia="宋体" w:cs="Times New Roman"/>
          <w:sz w:val="24"/>
          <w:szCs w:val="24"/>
        </w:rPr>
        <w:t>'s supply chain due diligence;</w:t>
      </w:r>
    </w:p>
    <w:p w14:paraId="74C46448">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unable to provide sufficient evidence or witnesses to support the issues;</w:t>
      </w:r>
    </w:p>
    <w:p w14:paraId="6FABFB29">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vicious grievance or to gain competitive advantages;</w:t>
      </w:r>
    </w:p>
    <w:p w14:paraId="5EED034F">
      <w:pPr>
        <w:spacing w:line="360" w:lineRule="auto"/>
        <w:ind w:left="420" w:leftChars="20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if the grievance does not fall within our internal mechanisms' scope, we will actively coordinate with an external organization to resolve it.</w:t>
      </w:r>
    </w:p>
    <w:p w14:paraId="4C53A185">
      <w:pPr>
        <w:spacing w:before="163"/>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 Who can file a grievance?</w:t>
      </w:r>
    </w:p>
    <w:p w14:paraId="2D134A42">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Any individual or group, including but not limited to our customers, suppliers, affected community residents, employees, etc., may file a grievance with the </w:t>
      </w:r>
      <w:r>
        <w:rPr>
          <w:rFonts w:hint="eastAsia" w:ascii="Times New Roman" w:hAnsi="Times New Roman" w:eastAsia="宋体" w:cs="Times New Roman"/>
          <w:sz w:val="24"/>
          <w:szCs w:val="24"/>
          <w:lang w:val="en-US" w:eastAsia="zh-CN"/>
        </w:rPr>
        <w:t>compliance team</w:t>
      </w:r>
      <w:r>
        <w:rPr>
          <w:rFonts w:hint="default" w:ascii="Times New Roman" w:hAnsi="Times New Roman" w:eastAsia="宋体" w:cs="Times New Roman"/>
          <w:sz w:val="24"/>
          <w:szCs w:val="24"/>
        </w:rPr>
        <w:t>.</w:t>
      </w:r>
    </w:p>
    <w:p w14:paraId="03479DDA">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Suppose a third-party group or individual files grievance representing affected parties, they should clearly state who they represent and provide clear evidence of their authority.</w:t>
      </w:r>
    </w:p>
    <w:p w14:paraId="374DB7D6">
      <w:pPr>
        <w:spacing w:before="163"/>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 How to file a grievance?</w:t>
      </w:r>
    </w:p>
    <w:p w14:paraId="3154CE53">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The complainant should complete the ‘Supply Chain Due Diligence Grievance Form’ shown in Annex I in any language and send it to the </w:t>
      </w:r>
      <w:r>
        <w:rPr>
          <w:rFonts w:hint="eastAsia" w:ascii="Times New Roman" w:hAnsi="Times New Roman" w:eastAsia="宋体" w:cs="Times New Roman"/>
          <w:sz w:val="24"/>
          <w:szCs w:val="24"/>
          <w:lang w:val="en-US" w:eastAsia="zh-CN"/>
        </w:rPr>
        <w:t>compliance team</w:t>
      </w:r>
      <w:r>
        <w:rPr>
          <w:rFonts w:hint="default" w:ascii="Times New Roman" w:hAnsi="Times New Roman" w:eastAsia="宋体" w:cs="Times New Roman"/>
          <w:sz w:val="24"/>
          <w:szCs w:val="24"/>
        </w:rPr>
        <w:t xml:space="preserve"> by e-mail or post.</w:t>
      </w:r>
    </w:p>
    <w:p w14:paraId="6DAEE9C1">
      <w:pPr>
        <w:spacing w:line="360" w:lineRule="auto"/>
        <w:ind w:left="420" w:firstLine="482" w:firstLineChars="200"/>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rPr>
        <w:t>Email:</w:t>
      </w:r>
      <w:r>
        <w:rPr>
          <w:rFonts w:hint="default" w:ascii="Times New Roman" w:hAnsi="Times New Roman" w:eastAsia="宋体" w:cs="Times New Roman"/>
          <w:b/>
          <w:bCs/>
          <w:sz w:val="24"/>
          <w:szCs w:val="24"/>
          <w:highlight w:val="none"/>
          <w:lang w:val="en-US" w:eastAsia="zh-CN"/>
        </w:rPr>
        <w:t xml:space="preserve"> qiang.pen@nanfangmetal.com  </w:t>
      </w:r>
    </w:p>
    <w:p w14:paraId="5AF23102">
      <w:pPr>
        <w:spacing w:line="360" w:lineRule="auto"/>
        <w:rPr>
          <w:rFonts w:hint="default" w:ascii="Times New Roman" w:hAnsi="Times New Roman" w:eastAsia="宋体" w:cs="Times New Roman"/>
          <w:sz w:val="24"/>
          <w:szCs w:val="24"/>
        </w:rPr>
      </w:pPr>
    </w:p>
    <w:p w14:paraId="1B966996">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Grievance can also be filed through the ‘Mediation and Consultation Mechanism for the Mining Industry and Mineral Value Chain’ of CCCMC</w:t>
      </w:r>
      <w:r>
        <w:rPr>
          <w:rStyle w:val="6"/>
          <w:rFonts w:hint="default" w:ascii="Times New Roman" w:hAnsi="Times New Roman" w:eastAsia="宋体" w:cs="Times New Roman"/>
          <w:sz w:val="24"/>
          <w:szCs w:val="24"/>
        </w:rPr>
        <w:footnoteReference w:id="19"/>
      </w:r>
      <w:r>
        <w:rPr>
          <w:rFonts w:hint="default" w:ascii="Times New Roman" w:hAnsi="Times New Roman" w:eastAsia="宋体" w:cs="Times New Roman"/>
          <w:sz w:val="24"/>
          <w:szCs w:val="24"/>
        </w:rPr>
        <w:t xml:space="preserve">. </w:t>
      </w:r>
    </w:p>
    <w:p w14:paraId="062034F4">
      <w:pPr>
        <w:spacing w:line="360" w:lineRule="auto"/>
        <w:ind w:firstLine="480" w:firstLineChars="200"/>
        <w:rPr>
          <w:rFonts w:hint="default" w:ascii="Times New Roman" w:hAnsi="Times New Roman" w:eastAsia="宋体" w:cs="Times New Roman"/>
          <w:sz w:val="24"/>
          <w:szCs w:val="24"/>
        </w:rPr>
      </w:pPr>
    </w:p>
    <w:p w14:paraId="4850F8C4">
      <w:pPr>
        <w:spacing w:line="360" w:lineRule="auto"/>
        <w:ind w:firstLine="480" w:firstLineChars="200"/>
        <w:rPr>
          <w:rFonts w:hint="default" w:ascii="Times New Roman" w:hAnsi="Times New Roman" w:eastAsia="宋体" w:cs="Times New Roman"/>
          <w:sz w:val="24"/>
          <w:szCs w:val="24"/>
        </w:rPr>
      </w:pPr>
    </w:p>
    <w:p w14:paraId="44B2D7A8">
      <w:pPr>
        <w:pStyle w:val="9"/>
        <w:ind w:left="0" w:leftChars="0"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Annex I - Supply Chain Due Diligence Grievance Form</w:t>
      </w:r>
    </w:p>
    <w:p w14:paraId="7741BB74">
      <w:pPr>
        <w:widowControl/>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14:paraId="43F661D9">
      <w:pPr>
        <w:widowControl/>
        <w:ind w:firstLine="482"/>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Annex I</w:t>
      </w:r>
    </w:p>
    <w:p w14:paraId="7BC93CDD">
      <w:pPr>
        <w:pStyle w:val="9"/>
        <w:ind w:left="0" w:leftChars="0" w:firstLine="0" w:firstLineChars="0"/>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Supply Chain Due Diligence Grievance Form</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2614"/>
        <w:gridCol w:w="2034"/>
        <w:gridCol w:w="2748"/>
      </w:tblGrid>
      <w:tr w14:paraId="6A40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6" w:type="pct"/>
            <w:noWrap w:val="0"/>
            <w:vAlign w:val="center"/>
          </w:tcPr>
          <w:p w14:paraId="1872F77D">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Name </w:t>
            </w:r>
          </w:p>
          <w:p w14:paraId="4C33F883">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(or anonymity)</w:t>
            </w:r>
          </w:p>
        </w:tc>
        <w:tc>
          <w:tcPr>
            <w:tcW w:w="1387" w:type="pct"/>
            <w:noWrap w:val="0"/>
            <w:vAlign w:val="center"/>
          </w:tcPr>
          <w:p w14:paraId="471F2CE3">
            <w:pPr>
              <w:spacing w:before="163"/>
              <w:ind w:firstLine="480" w:firstLineChars="200"/>
              <w:rPr>
                <w:rFonts w:hint="default" w:ascii="Times New Roman" w:hAnsi="Times New Roman" w:eastAsia="宋体" w:cs="Times New Roman"/>
                <w:sz w:val="24"/>
                <w:szCs w:val="24"/>
              </w:rPr>
            </w:pPr>
          </w:p>
        </w:tc>
        <w:tc>
          <w:tcPr>
            <w:tcW w:w="1079" w:type="pct"/>
            <w:noWrap w:val="0"/>
            <w:vAlign w:val="center"/>
          </w:tcPr>
          <w:p w14:paraId="5B821E2C">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Confidentiality</w:t>
            </w:r>
          </w:p>
        </w:tc>
        <w:tc>
          <w:tcPr>
            <w:tcW w:w="1458" w:type="pct"/>
            <w:noWrap w:val="0"/>
            <w:vAlign w:val="center"/>
          </w:tcPr>
          <w:p w14:paraId="56E48FBA">
            <w:pPr>
              <w:spacing w:before="163"/>
              <w:ind w:firstLine="480" w:firstLineChars="200"/>
              <w:rPr>
                <w:rFonts w:hint="default" w:ascii="Times New Roman" w:hAnsi="Times New Roman" w:eastAsia="宋体" w:cs="Times New Roman"/>
                <w:sz w:val="24"/>
                <w:szCs w:val="24"/>
              </w:rPr>
            </w:pPr>
          </w:p>
        </w:tc>
      </w:tr>
      <w:tr w14:paraId="74F2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6" w:type="pct"/>
            <w:noWrap w:val="0"/>
            <w:vAlign w:val="center"/>
          </w:tcPr>
          <w:p w14:paraId="54CD1826">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Contact No.</w:t>
            </w:r>
          </w:p>
        </w:tc>
        <w:tc>
          <w:tcPr>
            <w:tcW w:w="1387" w:type="pct"/>
            <w:noWrap w:val="0"/>
            <w:vAlign w:val="center"/>
          </w:tcPr>
          <w:p w14:paraId="78B3076A">
            <w:pPr>
              <w:spacing w:before="163"/>
              <w:ind w:firstLine="480" w:firstLineChars="200"/>
              <w:rPr>
                <w:rFonts w:hint="default" w:ascii="Times New Roman" w:hAnsi="Times New Roman" w:eastAsia="宋体" w:cs="Times New Roman"/>
                <w:sz w:val="24"/>
                <w:szCs w:val="24"/>
              </w:rPr>
            </w:pPr>
          </w:p>
        </w:tc>
        <w:tc>
          <w:tcPr>
            <w:tcW w:w="1079" w:type="pct"/>
            <w:noWrap w:val="0"/>
            <w:vAlign w:val="center"/>
          </w:tcPr>
          <w:p w14:paraId="166C927C">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Email</w:t>
            </w:r>
          </w:p>
        </w:tc>
        <w:tc>
          <w:tcPr>
            <w:tcW w:w="1458" w:type="pct"/>
            <w:noWrap w:val="0"/>
            <w:vAlign w:val="center"/>
          </w:tcPr>
          <w:p w14:paraId="09CA0882">
            <w:pPr>
              <w:spacing w:before="163"/>
              <w:ind w:firstLine="480" w:firstLineChars="200"/>
              <w:rPr>
                <w:rFonts w:hint="default" w:ascii="Times New Roman" w:hAnsi="Times New Roman" w:eastAsia="宋体" w:cs="Times New Roman"/>
                <w:sz w:val="24"/>
                <w:szCs w:val="24"/>
              </w:rPr>
            </w:pPr>
          </w:p>
        </w:tc>
      </w:tr>
      <w:tr w14:paraId="22E3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76" w:type="pct"/>
            <w:noWrap w:val="0"/>
            <w:vAlign w:val="center"/>
          </w:tcPr>
          <w:p w14:paraId="5DFAACA7">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If you are third-party or not?</w:t>
            </w:r>
          </w:p>
        </w:tc>
        <w:tc>
          <w:tcPr>
            <w:tcW w:w="1387" w:type="pct"/>
            <w:noWrap w:val="0"/>
            <w:vAlign w:val="center"/>
          </w:tcPr>
          <w:p w14:paraId="2570507C">
            <w:pPr>
              <w:spacing w:before="163"/>
              <w:ind w:firstLine="480" w:firstLineChars="200"/>
              <w:rPr>
                <w:rFonts w:hint="default" w:ascii="Times New Roman" w:hAnsi="Times New Roman" w:eastAsia="宋体" w:cs="Times New Roman"/>
                <w:sz w:val="24"/>
                <w:szCs w:val="24"/>
              </w:rPr>
            </w:pPr>
          </w:p>
        </w:tc>
        <w:tc>
          <w:tcPr>
            <w:tcW w:w="1079" w:type="pct"/>
            <w:noWrap w:val="0"/>
            <w:vAlign w:val="center"/>
          </w:tcPr>
          <w:p w14:paraId="53A33FEE">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If yes, who you are representing for (authorization letter needed)</w:t>
            </w:r>
          </w:p>
        </w:tc>
        <w:tc>
          <w:tcPr>
            <w:tcW w:w="1458" w:type="pct"/>
            <w:noWrap w:val="0"/>
            <w:vAlign w:val="center"/>
          </w:tcPr>
          <w:p w14:paraId="54DDAB33">
            <w:pPr>
              <w:spacing w:before="163"/>
              <w:ind w:firstLine="480" w:firstLineChars="200"/>
              <w:rPr>
                <w:rFonts w:hint="default" w:ascii="Times New Roman" w:hAnsi="Times New Roman" w:eastAsia="宋体" w:cs="Times New Roman"/>
                <w:sz w:val="24"/>
                <w:szCs w:val="24"/>
              </w:rPr>
            </w:pPr>
          </w:p>
        </w:tc>
      </w:tr>
      <w:tr w14:paraId="2EF1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076" w:type="pct"/>
            <w:noWrap w:val="0"/>
            <w:vAlign w:val="center"/>
          </w:tcPr>
          <w:p w14:paraId="04B5C130">
            <w:pPr>
              <w:spacing w:before="163"/>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Recuse</w:t>
            </w:r>
          </w:p>
        </w:tc>
        <w:tc>
          <w:tcPr>
            <w:tcW w:w="3924" w:type="pct"/>
            <w:gridSpan w:val="3"/>
            <w:noWrap w:val="0"/>
            <w:vAlign w:val="top"/>
          </w:tcPr>
          <w:p w14:paraId="52413519">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If you need to recuse someone from the </w:t>
            </w:r>
            <w:r>
              <w:rPr>
                <w:rFonts w:hint="default" w:ascii="Times New Roman" w:hAnsi="Times New Roman" w:eastAsia="宋体" w:cs="Times New Roman"/>
                <w:sz w:val="24"/>
                <w:szCs w:val="24"/>
                <w:lang w:eastAsia="zh-CN"/>
              </w:rPr>
              <w:t>Nanko Copper</w:t>
            </w:r>
            <w:r>
              <w:rPr>
                <w:rFonts w:hint="default" w:ascii="Times New Roman" w:hAnsi="Times New Roman" w:eastAsia="宋体" w:cs="Times New Roman"/>
                <w:sz w:val="24"/>
                <w:szCs w:val="24"/>
              </w:rPr>
              <w:t xml:space="preserve">’s </w:t>
            </w:r>
            <w:r>
              <w:rPr>
                <w:rFonts w:hint="default" w:ascii="Times New Roman" w:hAnsi="Times New Roman" w:eastAsia="宋体" w:cs="Times New Roman"/>
                <w:sz w:val="24"/>
                <w:szCs w:val="24"/>
                <w:lang w:val="en-US" w:eastAsia="zh-CN"/>
              </w:rPr>
              <w:t>Compliance team</w:t>
            </w:r>
            <w:r>
              <w:rPr>
                <w:rFonts w:hint="default" w:ascii="Times New Roman" w:hAnsi="Times New Roman" w:eastAsia="宋体" w:cs="Times New Roman"/>
                <w:sz w:val="24"/>
                <w:szCs w:val="24"/>
              </w:rPr>
              <w:t>, please list their names:</w:t>
            </w:r>
          </w:p>
          <w:p w14:paraId="52768DA7">
            <w:pPr>
              <w:spacing w:before="163"/>
              <w:ind w:firstLine="480" w:firstLineChars="200"/>
              <w:rPr>
                <w:rFonts w:hint="default" w:ascii="Times New Roman" w:hAnsi="Times New Roman" w:eastAsia="宋体" w:cs="Times New Roman"/>
                <w:sz w:val="24"/>
                <w:szCs w:val="24"/>
              </w:rPr>
            </w:pPr>
          </w:p>
          <w:p w14:paraId="513EAC2B">
            <w:pPr>
              <w:spacing w:before="163"/>
              <w:ind w:firstLine="480" w:firstLineChars="200"/>
              <w:rPr>
                <w:rFonts w:hint="default" w:ascii="Times New Roman" w:hAnsi="Times New Roman" w:eastAsia="宋体" w:cs="Times New Roman"/>
                <w:sz w:val="24"/>
                <w:szCs w:val="24"/>
              </w:rPr>
            </w:pPr>
          </w:p>
        </w:tc>
      </w:tr>
      <w:tr w14:paraId="4FF0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5000" w:type="pct"/>
            <w:gridSpan w:val="4"/>
            <w:noWrap w:val="0"/>
            <w:vAlign w:val="top"/>
          </w:tcPr>
          <w:p w14:paraId="4216539A">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Facts and evidence of negative impacts have caused (or may cause) and any other information that would support the complaint:</w:t>
            </w:r>
          </w:p>
          <w:p w14:paraId="275E9915">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(proof of the complaint needs to be attached)</w:t>
            </w:r>
          </w:p>
          <w:p w14:paraId="181E4F77">
            <w:pPr>
              <w:spacing w:before="163"/>
              <w:rPr>
                <w:rFonts w:hint="default" w:ascii="Times New Roman" w:hAnsi="Times New Roman" w:eastAsia="宋体" w:cs="Times New Roman"/>
                <w:sz w:val="24"/>
                <w:szCs w:val="24"/>
              </w:rPr>
            </w:pPr>
          </w:p>
          <w:p w14:paraId="57DC5F44">
            <w:pPr>
              <w:spacing w:before="163"/>
              <w:rPr>
                <w:rFonts w:hint="default" w:ascii="Times New Roman" w:hAnsi="Times New Roman" w:eastAsia="宋体" w:cs="Times New Roman"/>
                <w:sz w:val="24"/>
                <w:szCs w:val="24"/>
              </w:rPr>
            </w:pPr>
          </w:p>
          <w:p w14:paraId="1F0E3B44">
            <w:pPr>
              <w:spacing w:before="163"/>
              <w:rPr>
                <w:rFonts w:hint="default" w:ascii="Times New Roman" w:hAnsi="Times New Roman" w:eastAsia="宋体" w:cs="Times New Roman"/>
                <w:sz w:val="24"/>
                <w:szCs w:val="24"/>
              </w:rPr>
            </w:pPr>
          </w:p>
        </w:tc>
      </w:tr>
      <w:tr w14:paraId="6837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5000" w:type="pct"/>
            <w:gridSpan w:val="4"/>
            <w:noWrap w:val="0"/>
            <w:vAlign w:val="top"/>
          </w:tcPr>
          <w:p w14:paraId="761EF42E">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Your request and the solution you prefer:</w:t>
            </w:r>
          </w:p>
          <w:p w14:paraId="18EC3C8E">
            <w:pPr>
              <w:spacing w:before="16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clear and actionable request will help us to solve your problem faster)</w:t>
            </w:r>
          </w:p>
          <w:p w14:paraId="778DA042">
            <w:pPr>
              <w:spacing w:before="163"/>
              <w:rPr>
                <w:rFonts w:hint="default" w:ascii="Times New Roman" w:hAnsi="Times New Roman" w:eastAsia="宋体" w:cs="Times New Roman"/>
                <w:sz w:val="24"/>
                <w:szCs w:val="24"/>
              </w:rPr>
            </w:pPr>
          </w:p>
          <w:p w14:paraId="0B065D75">
            <w:pPr>
              <w:spacing w:before="163"/>
              <w:rPr>
                <w:rFonts w:hint="default" w:ascii="Times New Roman" w:hAnsi="Times New Roman" w:eastAsia="宋体" w:cs="Times New Roman"/>
                <w:sz w:val="24"/>
                <w:szCs w:val="24"/>
              </w:rPr>
            </w:pPr>
          </w:p>
          <w:p w14:paraId="7AA853C2">
            <w:pPr>
              <w:spacing w:before="163"/>
              <w:rPr>
                <w:rFonts w:hint="default" w:ascii="Times New Roman" w:hAnsi="Times New Roman" w:eastAsia="宋体" w:cs="Times New Roman"/>
                <w:sz w:val="24"/>
                <w:szCs w:val="24"/>
              </w:rPr>
            </w:pPr>
          </w:p>
        </w:tc>
      </w:tr>
      <w:tr w14:paraId="3545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5000" w:type="pct"/>
            <w:gridSpan w:val="4"/>
            <w:noWrap w:val="0"/>
            <w:vAlign w:val="center"/>
          </w:tcPr>
          <w:p w14:paraId="1C7C4636">
            <w:pPr>
              <w:spacing w:before="163"/>
              <w:ind w:right="2835" w:firstLine="480"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Signature:                 </w:t>
            </w:r>
          </w:p>
          <w:p w14:paraId="4C05D354">
            <w:pPr>
              <w:spacing w:before="163"/>
              <w:ind w:right="2835" w:firstLine="480" w:firstLineChars="200"/>
              <w:jc w:val="righ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Date:                 </w:t>
            </w:r>
          </w:p>
        </w:tc>
      </w:tr>
    </w:tbl>
    <w:p w14:paraId="79B513B1">
      <w:bookmarkStart w:id="23" w:name="_GoBack"/>
      <w:bookmarkEnd w:id="23"/>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0">
    <w:p>
      <w:r>
        <w:separator/>
      </w:r>
    </w:p>
  </w:footnote>
  <w:footnote w:type="continuationSeparator" w:id="41">
    <w:p>
      <w:r>
        <w:continuationSeparator/>
      </w:r>
    </w:p>
  </w:footnote>
  <w:footnote w:id="0">
    <w:p w14:paraId="6A56A78D">
      <w:pPr>
        <w:pStyle w:val="3"/>
      </w:pPr>
      <w:r>
        <w:rPr>
          <w:rFonts w:ascii="宋体" w:hAnsi="宋体"/>
          <w:szCs w:val="18"/>
          <w:vertAlign w:val="superscript"/>
        </w:rPr>
        <w:footnoteRef/>
      </w:r>
      <w:r>
        <w:rPr>
          <w:rFonts w:ascii="宋体" w:hAnsi="宋体"/>
          <w:szCs w:val="18"/>
          <w:vertAlign w:val="superscript"/>
        </w:rPr>
        <w:t xml:space="preserve"> </w:t>
      </w:r>
      <w:r>
        <w:rPr>
          <w:rFonts w:hint="eastAsia" w:ascii="宋体" w:hAnsi="宋体"/>
          <w:szCs w:val="18"/>
          <w:vertAlign w:val="superscript"/>
        </w:rPr>
        <w:t xml:space="preserve"> </w:t>
      </w:r>
      <w:r>
        <w:rPr>
          <w:rFonts w:hint="eastAsia" w:ascii="宋体" w:hAnsi="宋体"/>
          <w:szCs w:val="18"/>
        </w:rPr>
        <w:t>企业应参照联合国安理会有关决议对非国家武装团体进行识别。</w:t>
      </w:r>
    </w:p>
  </w:footnote>
  <w:footnote w:id="1">
    <w:p w14:paraId="2C648F94">
      <w:pPr>
        <w:snapToGrid w:val="0"/>
      </w:pPr>
      <w:r>
        <w:rPr>
          <w:rStyle w:val="6"/>
          <w:rFonts w:hint="eastAsia" w:ascii="宋体" w:hAnsi="宋体"/>
          <w:sz w:val="18"/>
          <w:szCs w:val="18"/>
        </w:rPr>
        <w:footnoteRef/>
      </w:r>
      <w:r>
        <w:rPr>
          <w:rFonts w:hint="eastAsia" w:ascii="宋体" w:hAnsi="宋体"/>
          <w:sz w:val="18"/>
          <w:szCs w:val="18"/>
        </w:rPr>
        <w:t xml:space="preserve"> </w:t>
      </w:r>
      <w:r>
        <w:rPr>
          <w:rFonts w:hint="eastAsia" w:ascii="宋体" w:hAnsi="宋体"/>
          <w:color w:val="000000"/>
          <w:sz w:val="18"/>
          <w:szCs w:val="18"/>
          <w:lang w:bidi="ar"/>
        </w:rPr>
        <w:t>“关联方”包括供应链上直接与武装团体合作，为矿产开采、贸易、处理提供便利的贸易商、批发商、中间商及其他各方。</w:t>
      </w:r>
    </w:p>
  </w:footnote>
  <w:footnote w:id="2">
    <w:p w14:paraId="194CA21C">
      <w:pPr>
        <w:snapToGrid w:val="0"/>
      </w:pPr>
      <w:r>
        <w:rPr>
          <w:rFonts w:hint="eastAsia" w:ascii="宋体" w:hAnsi="宋体"/>
          <w:color w:val="000000"/>
          <w:sz w:val="18"/>
          <w:szCs w:val="18"/>
          <w:vertAlign w:val="superscript"/>
          <w:lang w:bidi="ar"/>
        </w:rPr>
        <w:footnoteRef/>
      </w:r>
      <w:r>
        <w:rPr>
          <w:rFonts w:hint="eastAsia" w:ascii="宋体" w:hAnsi="宋体"/>
          <w:color w:val="000000"/>
          <w:sz w:val="18"/>
          <w:szCs w:val="18"/>
          <w:vertAlign w:val="superscript"/>
          <w:lang w:bidi="ar"/>
        </w:rPr>
        <w:t xml:space="preserve">  </w:t>
      </w:r>
      <w:r>
        <w:rPr>
          <w:rFonts w:hint="eastAsia" w:ascii="宋体" w:hAnsi="宋体"/>
          <w:color w:val="000000"/>
          <w:sz w:val="18"/>
          <w:szCs w:val="18"/>
          <w:lang w:bidi="ar"/>
        </w:rPr>
        <w:t>对矿山、运输路线、矿产交易地、以及供应链上游行为主体进行“控制</w:t>
      </w:r>
      <w:r>
        <w:rPr>
          <w:rFonts w:ascii="宋体" w:hAnsi="宋体"/>
          <w:color w:val="000000"/>
          <w:sz w:val="18"/>
          <w:szCs w:val="18"/>
          <w:lang w:bidi="ar"/>
        </w:rPr>
        <w:t>”</w:t>
      </w:r>
      <w:r>
        <w:rPr>
          <w:rFonts w:hint="eastAsia" w:ascii="宋体" w:hAnsi="宋体"/>
          <w:color w:val="000000"/>
          <w:sz w:val="18"/>
          <w:szCs w:val="18"/>
          <w:lang w:bidi="ar"/>
        </w:rPr>
        <w:t xml:space="preserve">是指 </w:t>
      </w:r>
      <w:r>
        <w:rPr>
          <w:rFonts w:ascii="宋体" w:hAnsi="宋体"/>
          <w:color w:val="000000"/>
          <w:sz w:val="18"/>
          <w:szCs w:val="18"/>
          <w:lang w:bidi="ar"/>
        </w:rPr>
        <w:t xml:space="preserve">i) </w:t>
      </w:r>
      <w:r>
        <w:rPr>
          <w:rFonts w:hint="eastAsia" w:ascii="宋体" w:hAnsi="宋体"/>
          <w:color w:val="000000"/>
          <w:sz w:val="18"/>
          <w:szCs w:val="18"/>
          <w:lang w:bidi="ar"/>
        </w:rPr>
        <w:t>对开采活动进行监视，包括对进入矿区进行授权，以及</w:t>
      </w:r>
      <w:r>
        <w:rPr>
          <w:rFonts w:ascii="宋体" w:hAnsi="宋体"/>
          <w:color w:val="000000"/>
          <w:sz w:val="18"/>
          <w:szCs w:val="18"/>
          <w:lang w:bidi="ar"/>
        </w:rPr>
        <w:t>/</w:t>
      </w:r>
      <w:r>
        <w:rPr>
          <w:rFonts w:hint="eastAsia" w:ascii="宋体" w:hAnsi="宋体"/>
          <w:color w:val="000000"/>
          <w:sz w:val="18"/>
          <w:szCs w:val="18"/>
          <w:lang w:bidi="ar"/>
        </w:rPr>
        <w:t>或对下游中间商、出口企业或国际贸易者的销售进行协调；</w:t>
      </w:r>
      <w:r>
        <w:rPr>
          <w:rFonts w:ascii="宋体" w:hAnsi="宋体"/>
          <w:color w:val="000000"/>
          <w:sz w:val="18"/>
          <w:szCs w:val="18"/>
          <w:lang w:bidi="ar"/>
        </w:rPr>
        <w:t xml:space="preserve">ii) </w:t>
      </w:r>
      <w:r>
        <w:rPr>
          <w:rFonts w:hint="eastAsia" w:ascii="宋体" w:hAnsi="宋体"/>
          <w:color w:val="000000"/>
          <w:sz w:val="18"/>
          <w:szCs w:val="18"/>
          <w:lang w:bidi="ar"/>
        </w:rPr>
        <w:t xml:space="preserve">在矿产开采、运输、贸易或销售过程中利用任何形式的强迫或强制劳动；或 </w:t>
      </w:r>
      <w:r>
        <w:rPr>
          <w:rFonts w:ascii="宋体" w:hAnsi="宋体"/>
          <w:color w:val="000000"/>
          <w:sz w:val="18"/>
          <w:szCs w:val="18"/>
          <w:lang w:bidi="ar"/>
        </w:rPr>
        <w:t xml:space="preserve">iii) </w:t>
      </w:r>
      <w:r>
        <w:rPr>
          <w:rFonts w:hint="eastAsia" w:ascii="宋体" w:hAnsi="宋体"/>
          <w:color w:val="000000"/>
          <w:sz w:val="18"/>
          <w:szCs w:val="18"/>
          <w:lang w:bidi="ar"/>
        </w:rPr>
        <w:t>在上游企业或矿山担任领导或管理人员，或是享有受益权或其他所有者权益。</w:t>
      </w:r>
    </w:p>
  </w:footnote>
  <w:footnote w:id="3">
    <w:p w14:paraId="306A96FF">
      <w:pPr>
        <w:adjustRightInd w:val="0"/>
        <w:snapToGrid w:val="0"/>
      </w:pPr>
      <w:r>
        <w:rPr>
          <w:rFonts w:hint="eastAsia" w:ascii="宋体" w:hAnsi="宋体"/>
          <w:color w:val="000000"/>
          <w:sz w:val="18"/>
          <w:szCs w:val="18"/>
          <w:vertAlign w:val="superscript"/>
          <w:lang w:bidi="ar"/>
        </w:rPr>
        <w:footnoteRef/>
      </w:r>
      <w:r>
        <w:rPr>
          <w:rFonts w:hint="eastAsia" w:ascii="宋体" w:hAnsi="宋体"/>
          <w:color w:val="000000"/>
          <w:sz w:val="18"/>
          <w:szCs w:val="18"/>
          <w:lang w:bidi="ar"/>
        </w:rPr>
        <w:t xml:space="preserve"> 向矿山、运输路线、矿产交易地、或上游企业进行“勒索</w:t>
      </w:r>
      <w:r>
        <w:rPr>
          <w:rFonts w:ascii="宋体" w:hAnsi="宋体"/>
          <w:color w:val="000000"/>
          <w:sz w:val="18"/>
          <w:szCs w:val="18"/>
          <w:lang w:bidi="ar"/>
        </w:rPr>
        <w:t>”</w:t>
      </w:r>
      <w:r>
        <w:rPr>
          <w:rFonts w:hint="eastAsia" w:ascii="宋体" w:hAnsi="宋体"/>
          <w:color w:val="000000"/>
          <w:sz w:val="18"/>
          <w:szCs w:val="18"/>
          <w:lang w:bidi="ar"/>
        </w:rPr>
        <w:t>是指以暴力或其他手段相威胁，通常以允许开采、使用运输路线、或矿产运输、购买、销售等活动作为筹码，向被勒索人索要并非其自愿支付的金钱或矿产。</w:t>
      </w:r>
    </w:p>
  </w:footnote>
  <w:footnote w:id="4">
    <w:p w14:paraId="4C2A77A1">
      <w:pPr>
        <w:snapToGrid w:val="0"/>
      </w:pPr>
      <w:r>
        <w:rPr>
          <w:rStyle w:val="6"/>
          <w:rFonts w:ascii="宋体" w:hAnsi="宋体"/>
          <w:sz w:val="18"/>
          <w:szCs w:val="18"/>
        </w:rPr>
        <w:footnoteRef/>
      </w:r>
      <w:r>
        <w:rPr>
          <w:rFonts w:ascii="宋体" w:hAnsi="宋体"/>
          <w:sz w:val="18"/>
          <w:szCs w:val="18"/>
        </w:rPr>
        <w:t xml:space="preserve"> </w:t>
      </w:r>
      <w:r>
        <w:rPr>
          <w:rFonts w:hint="eastAsia" w:ascii="宋体" w:hAnsi="宋体"/>
          <w:color w:val="000000"/>
          <w:sz w:val="18"/>
          <w:szCs w:val="18"/>
          <w:lang w:bidi="ar"/>
        </w:rPr>
        <w:t>此处所述“直接或间接支持</w:t>
      </w:r>
      <w:r>
        <w:rPr>
          <w:rFonts w:ascii="宋体" w:hAnsi="宋体"/>
          <w:color w:val="000000"/>
          <w:sz w:val="18"/>
          <w:szCs w:val="18"/>
          <w:lang w:bidi="ar"/>
        </w:rPr>
        <w:t>”</w:t>
      </w:r>
      <w:r>
        <w:rPr>
          <w:rFonts w:hint="eastAsia" w:ascii="宋体" w:hAnsi="宋体"/>
          <w:color w:val="000000"/>
          <w:sz w:val="18"/>
          <w:szCs w:val="18"/>
          <w:lang w:bidi="ar"/>
        </w:rPr>
        <w:t>指的并不是合法形式的支持，合法形式包括企业向其经营所在国政府支付的法定税收、费用和</w:t>
      </w:r>
      <w:r>
        <w:rPr>
          <w:rFonts w:ascii="宋体" w:hAnsi="宋体"/>
          <w:color w:val="000000"/>
          <w:sz w:val="18"/>
          <w:szCs w:val="18"/>
          <w:lang w:bidi="ar"/>
        </w:rPr>
        <w:t>/</w:t>
      </w:r>
      <w:r>
        <w:rPr>
          <w:rFonts w:hint="eastAsia" w:ascii="宋体" w:hAnsi="宋体"/>
          <w:color w:val="000000"/>
          <w:sz w:val="18"/>
          <w:szCs w:val="18"/>
          <w:lang w:bidi="ar"/>
        </w:rPr>
        <w:t>或特许开采费。</w:t>
      </w:r>
    </w:p>
  </w:footnote>
  <w:footnote w:id="5">
    <w:p w14:paraId="7DA425A0">
      <w:pPr>
        <w:pStyle w:val="3"/>
      </w:pPr>
      <w:r>
        <w:rPr>
          <w:rStyle w:val="6"/>
          <w:rFonts w:ascii="宋体" w:hAnsi="宋体"/>
          <w:szCs w:val="18"/>
        </w:rPr>
        <w:footnoteRef/>
      </w:r>
      <w:r>
        <w:rPr>
          <w:rFonts w:ascii="宋体" w:hAnsi="宋体"/>
          <w:szCs w:val="18"/>
        </w:rPr>
        <w:t xml:space="preserve"> </w:t>
      </w:r>
      <w:r>
        <w:rPr>
          <w:rFonts w:hint="eastAsia" w:ascii="宋体" w:hAnsi="宋体"/>
          <w:color w:val="000000"/>
          <w:szCs w:val="18"/>
          <w:lang w:bidi="ar"/>
        </w:rPr>
        <w:t>例如《安全与人权自愿原则》等国际指导文件。</w:t>
      </w:r>
    </w:p>
  </w:footnote>
  <w:footnote w:id="6">
    <w:p w14:paraId="6C473E2D">
      <w:pPr>
        <w:pStyle w:val="3"/>
      </w:pPr>
      <w:r>
        <w:rPr>
          <w:rStyle w:val="6"/>
          <w:rFonts w:ascii="宋体" w:hAnsi="宋体"/>
          <w:szCs w:val="18"/>
        </w:rPr>
        <w:footnoteRef/>
      </w:r>
      <w:r>
        <w:rPr>
          <w:rFonts w:ascii="宋体" w:hAnsi="宋体"/>
          <w:szCs w:val="18"/>
        </w:rPr>
        <w:t xml:space="preserve"> </w:t>
      </w:r>
      <w:r>
        <w:rPr>
          <w:rFonts w:hint="eastAsia" w:ascii="宋体" w:hAnsi="宋体"/>
          <w:szCs w:val="18"/>
        </w:rPr>
        <w:t>实施风险计划中如若遇到海啸、地震、火灾、疫情、战争等不可抗力因素，可相应调整时间期限，但</w:t>
      </w:r>
      <w:r>
        <w:rPr>
          <w:rFonts w:hint="eastAsia" w:ascii="宋体" w:hAnsi="宋体"/>
          <w:szCs w:val="18"/>
          <w:lang w:eastAsia="zh-Hans"/>
        </w:rPr>
        <w:t>将</w:t>
      </w:r>
      <w:r>
        <w:rPr>
          <w:rFonts w:hint="eastAsia" w:ascii="宋体" w:hAnsi="宋体"/>
          <w:szCs w:val="18"/>
        </w:rPr>
        <w:t>对情况提供文字说明。</w:t>
      </w:r>
    </w:p>
  </w:footnote>
  <w:footnote w:id="7">
    <w:p w14:paraId="2A36DA00">
      <w:pPr>
        <w:snapToGrid w:val="0"/>
      </w:pPr>
      <w:r>
        <w:rPr>
          <w:rStyle w:val="6"/>
          <w:rFonts w:ascii="宋体" w:hAnsi="宋体"/>
          <w:sz w:val="18"/>
          <w:szCs w:val="18"/>
        </w:rPr>
        <w:footnoteRef/>
      </w:r>
      <w:r>
        <w:rPr>
          <w:rFonts w:ascii="宋体" w:hAnsi="宋体"/>
          <w:sz w:val="18"/>
          <w:szCs w:val="18"/>
        </w:rPr>
        <w:t xml:space="preserve"> </w:t>
      </w:r>
      <w:r>
        <w:rPr>
          <w:rFonts w:hint="eastAsia" w:ascii="宋体" w:hAnsi="宋体"/>
          <w:color w:val="000000"/>
          <w:sz w:val="18"/>
          <w:szCs w:val="18"/>
          <w:lang w:bidi="ar"/>
        </w:rPr>
        <w:t>对采用风险管理计划后需要降低的风险，企业应额外进行风险评估。若风险管理计划六个月内未取得明显效果，为公共或私人安全武装武装提供直接或间接支持的风险没有得到遏制或降低的话，企业应暂时停止与供应商的合作，时间至少是三个月，并在暂时中止合作的同时对风险管理计划进行修订，阐明合作关系恢复之前改进工作所应达到的绩效目标。</w:t>
      </w:r>
    </w:p>
  </w:footnote>
  <w:footnote w:id="8">
    <w:p w14:paraId="1D816B39">
      <w:pPr>
        <w:snapToGrid w:val="0"/>
      </w:pPr>
      <w:r>
        <w:rPr>
          <w:rStyle w:val="6"/>
          <w:rFonts w:ascii="宋体" w:hAnsi="宋体"/>
          <w:sz w:val="18"/>
          <w:szCs w:val="18"/>
        </w:rPr>
        <w:footnoteRef/>
      </w:r>
      <w:r>
        <w:rPr>
          <w:rFonts w:ascii="宋体" w:hAnsi="宋体"/>
          <w:sz w:val="18"/>
          <w:szCs w:val="18"/>
        </w:rPr>
        <w:t xml:space="preserve"> </w:t>
      </w:r>
      <w:r>
        <w:rPr>
          <w:rFonts w:hint="eastAsia" w:ascii="宋体" w:hAnsi="宋体"/>
          <w:color w:val="000000"/>
          <w:sz w:val="18"/>
          <w:szCs w:val="18"/>
          <w:lang w:bidi="ar"/>
        </w:rPr>
        <w:t>参见经合组织《关于打击国际商业交易中行贿外国公职人员行为的公约》（1997）和《联合国反腐败公约》（</w:t>
      </w:r>
      <w:r>
        <w:rPr>
          <w:rFonts w:ascii="宋体" w:hAnsi="宋体"/>
          <w:color w:val="000000"/>
          <w:sz w:val="18"/>
          <w:szCs w:val="18"/>
          <w:lang w:bidi="ar"/>
        </w:rPr>
        <w:t>2004</w:t>
      </w:r>
      <w:r>
        <w:rPr>
          <w:rFonts w:hint="eastAsia" w:ascii="宋体" w:hAnsi="宋体"/>
          <w:color w:val="000000"/>
          <w:sz w:val="18"/>
          <w:szCs w:val="18"/>
          <w:lang w:bidi="ar"/>
        </w:rPr>
        <w:t>）。</w:t>
      </w:r>
    </w:p>
  </w:footnote>
  <w:footnote w:id="9">
    <w:p w14:paraId="735455E3">
      <w:pPr>
        <w:pStyle w:val="3"/>
      </w:pPr>
      <w:r>
        <w:rPr>
          <w:rStyle w:val="6"/>
        </w:rPr>
        <w:footnoteRef/>
      </w:r>
      <w:r>
        <w:t xml:space="preserve"> Companies can refer to relevant UN Security Council resolutions, to identify non-state armed groups.</w:t>
      </w:r>
    </w:p>
  </w:footnote>
  <w:footnote w:id="10">
    <w:p w14:paraId="72B19A66">
      <w:pPr>
        <w:pStyle w:val="3"/>
      </w:pPr>
      <w:r>
        <w:rPr>
          <w:rStyle w:val="6"/>
        </w:rPr>
        <w:footnoteRef/>
      </w:r>
      <w:r>
        <w:t xml:space="preserve"> “Affiliates” includes traders, consolidators, intermediaries, and others in the supply chain that work directly with armed groups to facilitate the extraction, trade or handling of minerals.</w:t>
      </w:r>
    </w:p>
  </w:footnote>
  <w:footnote w:id="11">
    <w:p w14:paraId="2F05C788">
      <w:pPr>
        <w:pStyle w:val="3"/>
      </w:pPr>
      <w:r>
        <w:rPr>
          <w:rStyle w:val="6"/>
        </w:rPr>
        <w:footnoteRef/>
      </w:r>
      <w:r>
        <w:t xml:space="preserve"> “Control” of mines, transportation routes, points where minerals are traded and upstream actors in the supply chain means i) overseeing extraction, including by granting access to mine sites and/or coordinating downstream sales to intermediaries, export companies or international traders; ii) making recourse to any forms of forced or compulsory labour to mine, transport, trade or sell minerals; or iii) acting as a director or officer of, or holding beneficial or other ownership interests in, upstream companies or mines</w:t>
      </w:r>
    </w:p>
  </w:footnote>
  <w:footnote w:id="12">
    <w:p w14:paraId="0ED81DE1">
      <w:pPr>
        <w:pStyle w:val="3"/>
      </w:pPr>
      <w:r>
        <w:rPr>
          <w:rStyle w:val="6"/>
        </w:rPr>
        <w:footnoteRef/>
      </w:r>
      <w:r>
        <w:t xml:space="preserve"> “Extort” from mines, transportation routes, points where minerals are traded or upstream companies means the demanding, under the threat of violence or any other penalty, and for which the person has not voluntarily offered, sums of money or minerals, often in return for granting access to exploit the mine site, access transportation routes, or to transport, purchase, or sell minerals.</w:t>
      </w:r>
    </w:p>
  </w:footnote>
  <w:footnote w:id="13">
    <w:p w14:paraId="6F469374">
      <w:pPr>
        <w:pStyle w:val="3"/>
      </w:pPr>
      <w:r>
        <w:rPr>
          <w:rStyle w:val="6"/>
        </w:rPr>
        <w:footnoteRef/>
      </w:r>
      <w:r>
        <w:t xml:space="preserve"> “Direct or indirect support” does not refer to legal form of support, including legal taxes, fees, and/or royalties that companies pay to the government of a country in which they operate.</w:t>
      </w:r>
    </w:p>
  </w:footnote>
  <w:footnote w:id="14">
    <w:p w14:paraId="30B53C7E">
      <w:pPr>
        <w:pStyle w:val="3"/>
      </w:pPr>
      <w:r>
        <w:rPr>
          <w:rStyle w:val="6"/>
        </w:rPr>
        <w:footnoteRef/>
      </w:r>
      <w:r>
        <w:t xml:space="preserve"> Such as Voluntary Principles on Security and Human Rights.</w:t>
      </w:r>
    </w:p>
  </w:footnote>
  <w:footnote w:id="15">
    <w:p w14:paraId="5A9D294A">
      <w:pPr>
        <w:pStyle w:val="3"/>
      </w:pPr>
      <w:r>
        <w:rPr>
          <w:rStyle w:val="6"/>
        </w:rPr>
        <w:footnoteRef/>
      </w:r>
      <w:r>
        <w:t xml:space="preserve"> </w:t>
      </w:r>
      <w:r>
        <w:rPr>
          <w:rFonts w:hint="eastAsia"/>
        </w:rPr>
        <w:t>If force majeure events such as tsunamis, earthquakes, fires, epidemics, or wars occur during the implementation of the risk management plan, the timeline may be adjusted accordingly, provided that a written explanation of the situation is given.</w:t>
      </w:r>
    </w:p>
  </w:footnote>
  <w:footnote w:id="16">
    <w:p w14:paraId="61660196">
      <w:pPr>
        <w:pStyle w:val="3"/>
      </w:pPr>
      <w:r>
        <w:rPr>
          <w:rStyle w:val="6"/>
        </w:rPr>
        <w:footnoteRef/>
      </w:r>
      <w:r>
        <w:t xml:space="preserve"> </w:t>
      </w:r>
      <w:r>
        <w:rPr>
          <w:rFonts w:hint="eastAsia"/>
        </w:rPr>
        <w:t>In order to mitigate risks after implementing the risk management plan, the company should carry out additional risk assessments. If the risk management plan does not show significant results within six months and if the risk of providing direct or indirect support to public or private security forces has not been contained or reduced, the company should temporarily suspend cooperation with the supplier for at least three months. During this suspension, the company should revise the risk management plan and clarify the performance goals that need to be achieved for the cooperation to resume.</w:t>
      </w:r>
    </w:p>
  </w:footnote>
  <w:footnote w:id="17">
    <w:p w14:paraId="7DBB4551">
      <w:pPr>
        <w:pStyle w:val="3"/>
      </w:pPr>
      <w:r>
        <w:rPr>
          <w:rStyle w:val="6"/>
        </w:rPr>
        <w:footnoteRef/>
      </w:r>
      <w:r>
        <w:t xml:space="preserve"> See OECD Convention on Combating Bribery of Foreign Public Officials in International Business Transactions (1997); and the United Nations Convention Against Corruption (2004)</w:t>
      </w:r>
    </w:p>
  </w:footnote>
  <w:footnote w:id="18">
    <w:p w14:paraId="5532A5C3">
      <w:pPr>
        <w:pStyle w:val="3"/>
        <w:rPr>
          <w:rFonts w:hint="eastAsia"/>
        </w:rPr>
      </w:pPr>
      <w:r>
        <w:rPr>
          <w:rStyle w:val="6"/>
        </w:rPr>
        <w:footnoteRef/>
      </w:r>
      <w:r>
        <w:t xml:space="preserve"> </w:t>
      </w:r>
      <w:r>
        <w:rPr>
          <w:rFonts w:hint="eastAsia"/>
        </w:rPr>
        <w:t>中国五矿化工进出口商会的《采矿业和矿产价值链调解磋商机制》，可参考：https://www.cccmc.org.cn/kcxfzzx/zyzx/al/</w:t>
      </w:r>
    </w:p>
  </w:footnote>
  <w:footnote w:id="19">
    <w:p w14:paraId="187D90A2">
      <w:pPr>
        <w:pStyle w:val="3"/>
        <w:rPr>
          <w:rFonts w:hint="eastAsia"/>
        </w:rPr>
      </w:pPr>
      <w:r>
        <w:rPr>
          <w:rStyle w:val="6"/>
        </w:rPr>
        <w:footnoteRef/>
      </w:r>
      <w:r>
        <w:t xml:space="preserve"> </w:t>
      </w:r>
      <w:r>
        <w:rPr>
          <w:rFonts w:hint="eastAsia"/>
        </w:rPr>
        <w:t>Note: CCCMC- Mediation and Consultation Mechanism for the Mining Industry and Mineral Value Chain, please refer to https://www.cccmc.org.cn/kcxfzzx/zyzx/al/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70706"/>
    <w:multiLevelType w:val="singleLevel"/>
    <w:tmpl w:val="86970706"/>
    <w:lvl w:ilvl="0" w:tentative="0">
      <w:start w:val="1"/>
      <w:numFmt w:val="lowerLetter"/>
      <w:lvlText w:val="%1."/>
      <w:lvlJc w:val="left"/>
      <w:pPr>
        <w:ind w:left="425" w:hanging="425"/>
      </w:pPr>
      <w:rPr>
        <w:rFonts w:hint="default"/>
      </w:rPr>
    </w:lvl>
  </w:abstractNum>
  <w:abstractNum w:abstractNumId="1">
    <w:nsid w:val="12365175"/>
    <w:multiLevelType w:val="multilevel"/>
    <w:tmpl w:val="12365175"/>
    <w:lvl w:ilvl="0" w:tentative="0">
      <w:start w:val="1"/>
      <w:numFmt w:val="decimal"/>
      <w:lvlText w:val="%1．"/>
      <w:lvlJc w:val="left"/>
      <w:pPr>
        <w:ind w:left="113" w:hanging="113"/>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6C642D"/>
    <w:multiLevelType w:val="multilevel"/>
    <w:tmpl w:val="1D6C642D"/>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27E07936"/>
    <w:multiLevelType w:val="multilevel"/>
    <w:tmpl w:val="27E07936"/>
    <w:lvl w:ilvl="0" w:tentative="0">
      <w:start w:val="1"/>
      <w:numFmt w:val="lowerRoman"/>
      <w:lvlText w:val="%1."/>
      <w:lvlJc w:val="righ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285333BD"/>
    <w:multiLevelType w:val="multilevel"/>
    <w:tmpl w:val="285333BD"/>
    <w:lvl w:ilvl="0" w:tentative="0">
      <w:start w:val="1"/>
      <w:numFmt w:val="decimal"/>
      <w:suff w:val="nothing"/>
      <w:lvlText w:val="%1．"/>
      <w:lvlJc w:val="left"/>
      <w:pPr>
        <w:ind w:left="0" w:firstLine="40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377148B"/>
    <w:multiLevelType w:val="multilevel"/>
    <w:tmpl w:val="3377148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E9C7F70"/>
    <w:multiLevelType w:val="multilevel"/>
    <w:tmpl w:val="4E9C7F70"/>
    <w:lvl w:ilvl="0" w:tentative="0">
      <w:start w:val="1"/>
      <w:numFmt w:val="decimal"/>
      <w:suff w:val="nothing"/>
      <w:lvlText w:val="%1．"/>
      <w:lvlJc w:val="left"/>
      <w:pPr>
        <w:ind w:left="0" w:firstLine="400"/>
      </w:pPr>
      <w:rPr>
        <w:rFonts w:hint="default"/>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086DBF7"/>
    <w:multiLevelType w:val="singleLevel"/>
    <w:tmpl w:val="6086DBF7"/>
    <w:lvl w:ilvl="0" w:tentative="0">
      <w:start w:val="1"/>
      <w:numFmt w:val="lowerRoman"/>
      <w:suff w:val="nothing"/>
      <w:lvlText w:val="%1．"/>
      <w:lvlJc w:val="left"/>
      <w:pPr>
        <w:tabs>
          <w:tab w:val="left" w:pos="0"/>
        </w:tabs>
        <w:ind w:left="0" w:firstLine="400"/>
      </w:pPr>
      <w:rPr>
        <w:rFonts w:hint="default" w:ascii="宋体" w:hAnsi="宋体" w:eastAsia="宋体" w:cs="宋体"/>
      </w:rPr>
    </w:lvl>
  </w:abstractNum>
  <w:abstractNum w:abstractNumId="8">
    <w:nsid w:val="60C9BA9C"/>
    <w:multiLevelType w:val="singleLevel"/>
    <w:tmpl w:val="60C9BA9C"/>
    <w:lvl w:ilvl="0" w:tentative="0">
      <w:start w:val="1"/>
      <w:numFmt w:val="decimal"/>
      <w:lvlText w:val="%1."/>
      <w:lvlJc w:val="left"/>
      <w:pPr>
        <w:ind w:left="425" w:hanging="425"/>
      </w:pPr>
      <w:rPr>
        <w:rFonts w:hint="default"/>
      </w:rPr>
    </w:lvl>
  </w:abstractNum>
  <w:abstractNum w:abstractNumId="9">
    <w:nsid w:val="60C9BC30"/>
    <w:multiLevelType w:val="singleLevel"/>
    <w:tmpl w:val="60C9BC30"/>
    <w:lvl w:ilvl="0" w:tentative="0">
      <w:start w:val="2"/>
      <w:numFmt w:val="decimal"/>
      <w:suff w:val="nothing"/>
      <w:lvlText w:val="%1．"/>
      <w:lvlJc w:val="left"/>
      <w:pPr>
        <w:ind w:left="0" w:firstLine="400"/>
      </w:pPr>
      <w:rPr>
        <w:rFonts w:hint="default"/>
      </w:rPr>
    </w:lvl>
  </w:abstractNum>
  <w:abstractNum w:abstractNumId="10">
    <w:nsid w:val="60C9C1F3"/>
    <w:multiLevelType w:val="singleLevel"/>
    <w:tmpl w:val="60C9C1F3"/>
    <w:lvl w:ilvl="0" w:tentative="0">
      <w:start w:val="1"/>
      <w:numFmt w:val="decimal"/>
      <w:suff w:val="nothing"/>
      <w:lvlText w:val="%1．"/>
      <w:lvlJc w:val="left"/>
      <w:pPr>
        <w:ind w:left="0" w:firstLine="400"/>
      </w:pPr>
      <w:rPr>
        <w:rFonts w:hint="default"/>
        <w:b w:val="0"/>
        <w:bCs/>
      </w:rPr>
    </w:lvl>
  </w:abstractNum>
  <w:abstractNum w:abstractNumId="11">
    <w:nsid w:val="679D3614"/>
    <w:multiLevelType w:val="multilevel"/>
    <w:tmpl w:val="679D361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8"/>
  </w:num>
  <w:num w:numId="2">
    <w:abstractNumId w:val="0"/>
  </w:num>
  <w:num w:numId="3">
    <w:abstractNumId w:val="9"/>
  </w:num>
  <w:num w:numId="4">
    <w:abstractNumId w:val="4"/>
  </w:num>
  <w:num w:numId="5">
    <w:abstractNumId w:val="7"/>
  </w:num>
  <w:num w:numId="6">
    <w:abstractNumId w:val="10"/>
  </w:num>
  <w:num w:numId="7">
    <w:abstractNumId w:val="6"/>
  </w:num>
  <w:num w:numId="8">
    <w:abstractNumId w:val="2"/>
  </w:num>
  <w:num w:numId="9">
    <w:abstractNumId w:val="3"/>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0"/>
    <w:footnote w:id="4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04EC3"/>
    <w:rsid w:val="45393998"/>
    <w:rsid w:val="5D59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rFonts w:ascii="Times New Roman" w:hAnsi="Times New Roman" w:eastAsia="仿宋"/>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unhideWhenUsed/>
    <w:qFormat/>
    <w:uiPriority w:val="99"/>
    <w:pPr>
      <w:snapToGrid w:val="0"/>
      <w:jc w:val="left"/>
    </w:pPr>
    <w:rPr>
      <w:sz w:val="18"/>
    </w:rPr>
  </w:style>
  <w:style w:type="character" w:styleId="6">
    <w:name w:val="footnote reference"/>
    <w:basedOn w:val="5"/>
    <w:unhideWhenUsed/>
    <w:qFormat/>
    <w:uiPriority w:val="99"/>
    <w:rPr>
      <w:vertAlign w:val="superscript"/>
    </w:rPr>
  </w:style>
  <w:style w:type="character" w:customStyle="1" w:styleId="7">
    <w:name w:val="标题 1 Char"/>
    <w:link w:val="2"/>
    <w:qFormat/>
    <w:uiPriority w:val="0"/>
    <w:rPr>
      <w:rFonts w:ascii="Times New Roman" w:hAnsi="Times New Roman" w:eastAsia="仿宋"/>
      <w:b/>
      <w:bCs/>
      <w:kern w:val="44"/>
      <w:sz w:val="36"/>
      <w:szCs w:val="44"/>
    </w:rPr>
  </w:style>
  <w:style w:type="paragraph" w:styleId="8">
    <w:name w:val="List Paragraph"/>
    <w:basedOn w:val="1"/>
    <w:qFormat/>
    <w:uiPriority w:val="34"/>
    <w:pPr>
      <w:ind w:left="720"/>
      <w:contextualSpacing/>
    </w:pPr>
  </w:style>
  <w:style w:type="paragraph" w:customStyle="1" w:styleId="9">
    <w:name w:val="列表段落1"/>
    <w:basedOn w:val="1"/>
    <w:qFormat/>
    <w:uiPriority w:val="0"/>
    <w:pPr>
      <w:spacing w:before="152"/>
      <w:ind w:left="1282" w:hanging="60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4837</Words>
  <Characters>11718</Characters>
  <Lines>0</Lines>
  <Paragraphs>0</Paragraphs>
  <TotalTime>0</TotalTime>
  <ScaleCrop>false</ScaleCrop>
  <LinksUpToDate>false</LinksUpToDate>
  <CharactersWithSpaces>13227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2024-12-16T08:05:00Z</dcterms:created>
  <dc:creator>Administrator</dc:creator>
  <cp:lastModifiedBy>胖哥哥</cp:lastModifiedBy>
  <dcterms:modified xsi:type="dcterms:W3CDTF">2024-12-16T08:11:23Z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20E3D2BA3906479EAABD1CBEECD99845_12</vt:lpwstr>
  </property>
</Properties>
</file>